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B9A0E" w14:textId="2FD009C7" w:rsidR="005C2A77" w:rsidRPr="00271E1A" w:rsidRDefault="003F0FD8" w:rsidP="00DE0B9C">
      <w:pPr>
        <w:jc w:val="right"/>
        <w:rPr>
          <w:rFonts w:asciiTheme="minorHAnsi" w:hAnsiTheme="minorHAnsi" w:cstheme="minorHAnsi"/>
          <w:sz w:val="22"/>
          <w:szCs w:val="22"/>
        </w:rPr>
      </w:pPr>
      <w:r w:rsidRPr="00271E1A">
        <w:rPr>
          <w:rFonts w:asciiTheme="minorHAnsi" w:hAnsiTheme="minorHAnsi" w:cstheme="minorHAnsi"/>
          <w:sz w:val="22"/>
          <w:szCs w:val="22"/>
        </w:rPr>
        <w:t xml:space="preserve">V Praze dne </w:t>
      </w:r>
      <w:r w:rsidR="00937F89">
        <w:rPr>
          <w:rFonts w:asciiTheme="minorHAnsi" w:hAnsiTheme="minorHAnsi" w:cstheme="minorHAnsi"/>
          <w:sz w:val="22"/>
          <w:szCs w:val="22"/>
        </w:rPr>
        <w:t>9</w:t>
      </w:r>
      <w:r w:rsidR="00A11B86" w:rsidRPr="00271E1A">
        <w:rPr>
          <w:rFonts w:asciiTheme="minorHAnsi" w:hAnsiTheme="minorHAnsi" w:cstheme="minorHAnsi"/>
          <w:sz w:val="22"/>
          <w:szCs w:val="22"/>
        </w:rPr>
        <w:t xml:space="preserve">. </w:t>
      </w:r>
      <w:r w:rsidR="00937F89">
        <w:rPr>
          <w:rFonts w:asciiTheme="minorHAnsi" w:hAnsiTheme="minorHAnsi" w:cstheme="minorHAnsi"/>
          <w:sz w:val="22"/>
          <w:szCs w:val="22"/>
        </w:rPr>
        <w:t>8</w:t>
      </w:r>
      <w:r w:rsidR="002F56DC" w:rsidRPr="00271E1A">
        <w:rPr>
          <w:rFonts w:asciiTheme="minorHAnsi" w:hAnsiTheme="minorHAnsi" w:cstheme="minorHAnsi"/>
          <w:sz w:val="22"/>
          <w:szCs w:val="22"/>
        </w:rPr>
        <w:t>. 20</w:t>
      </w:r>
      <w:r w:rsidR="00DE0B9C" w:rsidRPr="00271E1A">
        <w:rPr>
          <w:rFonts w:asciiTheme="minorHAnsi" w:hAnsiTheme="minorHAnsi" w:cstheme="minorHAnsi"/>
          <w:sz w:val="22"/>
          <w:szCs w:val="22"/>
        </w:rPr>
        <w:t>2</w:t>
      </w:r>
      <w:r w:rsidR="000340E5">
        <w:rPr>
          <w:rFonts w:asciiTheme="minorHAnsi" w:hAnsiTheme="minorHAnsi" w:cstheme="minorHAnsi"/>
          <w:sz w:val="22"/>
          <w:szCs w:val="22"/>
        </w:rPr>
        <w:t>2</w:t>
      </w:r>
    </w:p>
    <w:p w14:paraId="0DA1C77B" w14:textId="77777777" w:rsidR="005C2A77" w:rsidRPr="00271E1A" w:rsidRDefault="005C2A77" w:rsidP="005C2A77">
      <w:pPr>
        <w:jc w:val="center"/>
        <w:rPr>
          <w:rFonts w:asciiTheme="minorHAnsi" w:hAnsiTheme="minorHAnsi" w:cstheme="minorHAnsi"/>
          <w:sz w:val="22"/>
          <w:szCs w:val="22"/>
        </w:rPr>
      </w:pPr>
    </w:p>
    <w:p w14:paraId="5EDEC24F" w14:textId="4F8D2875" w:rsidR="00206637" w:rsidRPr="00743CFA" w:rsidRDefault="00C146C9" w:rsidP="00206637">
      <w:pPr>
        <w:jc w:val="center"/>
        <w:rPr>
          <w:rFonts w:asciiTheme="minorHAnsi" w:hAnsiTheme="minorHAnsi" w:cstheme="minorHAnsi"/>
          <w:caps/>
          <w:szCs w:val="22"/>
        </w:rPr>
      </w:pPr>
      <w:r w:rsidRPr="00743CFA">
        <w:rPr>
          <w:rFonts w:asciiTheme="minorHAnsi" w:hAnsiTheme="minorHAnsi" w:cstheme="minorHAnsi"/>
          <w:caps/>
          <w:szCs w:val="22"/>
        </w:rPr>
        <w:t>STANOVISKO</w:t>
      </w:r>
      <w:r w:rsidR="005C2A77" w:rsidRPr="00743CFA">
        <w:rPr>
          <w:rFonts w:asciiTheme="minorHAnsi" w:hAnsiTheme="minorHAnsi" w:cstheme="minorHAnsi"/>
          <w:caps/>
          <w:szCs w:val="22"/>
        </w:rPr>
        <w:t xml:space="preserve"> UZS ČR</w:t>
      </w:r>
    </w:p>
    <w:p w14:paraId="7555E7CB" w14:textId="77777777" w:rsidR="00206637" w:rsidRPr="00271E1A" w:rsidRDefault="00206637" w:rsidP="00206637">
      <w:pPr>
        <w:jc w:val="center"/>
        <w:rPr>
          <w:rFonts w:asciiTheme="minorHAnsi" w:hAnsiTheme="minorHAnsi" w:cstheme="minorHAnsi"/>
          <w:b/>
          <w:bCs/>
          <w:sz w:val="22"/>
          <w:szCs w:val="22"/>
        </w:rPr>
      </w:pPr>
    </w:p>
    <w:p w14:paraId="717731E3" w14:textId="38034FB1" w:rsidR="00C16E04" w:rsidRPr="00271E1A" w:rsidRDefault="00C41A4B" w:rsidP="00C81E13">
      <w:pPr>
        <w:autoSpaceDE w:val="0"/>
        <w:autoSpaceDN w:val="0"/>
        <w:adjustRightInd w:val="0"/>
        <w:jc w:val="center"/>
        <w:rPr>
          <w:rFonts w:asciiTheme="minorHAnsi" w:hAnsiTheme="minorHAnsi" w:cstheme="minorHAnsi"/>
          <w:b/>
          <w:bCs/>
          <w:sz w:val="22"/>
          <w:szCs w:val="22"/>
        </w:rPr>
      </w:pPr>
      <w:r w:rsidRPr="00271E1A">
        <w:rPr>
          <w:rFonts w:asciiTheme="minorHAnsi" w:hAnsiTheme="minorHAnsi" w:cstheme="minorHAnsi"/>
          <w:b/>
          <w:bCs/>
          <w:sz w:val="22"/>
          <w:szCs w:val="22"/>
        </w:rPr>
        <w:t>k</w:t>
      </w:r>
      <w:r w:rsidR="009D33F5" w:rsidRPr="00271E1A">
        <w:rPr>
          <w:rFonts w:asciiTheme="minorHAnsi" w:hAnsiTheme="minorHAnsi" w:cstheme="minorHAnsi"/>
          <w:b/>
          <w:bCs/>
          <w:sz w:val="22"/>
          <w:szCs w:val="22"/>
        </w:rPr>
        <w:t xml:space="preserve"> </w:t>
      </w:r>
      <w:r w:rsidR="002E0AF4" w:rsidRPr="00271E1A">
        <w:rPr>
          <w:rFonts w:asciiTheme="minorHAnsi" w:hAnsiTheme="minorHAnsi" w:cstheme="minorHAnsi"/>
          <w:b/>
          <w:bCs/>
          <w:sz w:val="22"/>
          <w:szCs w:val="22"/>
        </w:rPr>
        <w:t>n</w:t>
      </w:r>
      <w:r w:rsidR="00C16E04" w:rsidRPr="00271E1A">
        <w:rPr>
          <w:rFonts w:asciiTheme="minorHAnsi" w:hAnsiTheme="minorHAnsi" w:cstheme="minorHAnsi"/>
          <w:b/>
          <w:bCs/>
          <w:sz w:val="22"/>
          <w:szCs w:val="22"/>
        </w:rPr>
        <w:t>ávrh</w:t>
      </w:r>
      <w:r w:rsidR="002E0AF4" w:rsidRPr="00271E1A">
        <w:rPr>
          <w:rFonts w:asciiTheme="minorHAnsi" w:hAnsiTheme="minorHAnsi" w:cstheme="minorHAnsi"/>
          <w:b/>
          <w:bCs/>
          <w:sz w:val="22"/>
          <w:szCs w:val="22"/>
        </w:rPr>
        <w:t>u</w:t>
      </w:r>
      <w:r w:rsidR="00C16E04" w:rsidRPr="00271E1A">
        <w:rPr>
          <w:rFonts w:asciiTheme="minorHAnsi" w:hAnsiTheme="minorHAnsi" w:cstheme="minorHAnsi"/>
          <w:b/>
          <w:bCs/>
          <w:sz w:val="22"/>
          <w:szCs w:val="22"/>
        </w:rPr>
        <w:t xml:space="preserve"> </w:t>
      </w:r>
      <w:proofErr w:type="spellStart"/>
      <w:r w:rsidR="00937F89">
        <w:rPr>
          <w:rFonts w:asciiTheme="minorHAnsi" w:hAnsiTheme="minorHAnsi" w:cstheme="minorHAnsi"/>
          <w:b/>
          <w:bCs/>
          <w:sz w:val="22"/>
          <w:szCs w:val="22"/>
        </w:rPr>
        <w:t>Antibyrokratického</w:t>
      </w:r>
      <w:proofErr w:type="spellEnd"/>
      <w:r w:rsidR="00937F89">
        <w:rPr>
          <w:rFonts w:asciiTheme="minorHAnsi" w:hAnsiTheme="minorHAnsi" w:cstheme="minorHAnsi"/>
          <w:b/>
          <w:bCs/>
          <w:sz w:val="22"/>
          <w:szCs w:val="22"/>
        </w:rPr>
        <w:t xml:space="preserve"> balíčku I.</w:t>
      </w:r>
    </w:p>
    <w:p w14:paraId="1AC7058D" w14:textId="2F52205F" w:rsidR="00271E1A" w:rsidRDefault="00271E1A" w:rsidP="00271E1A">
      <w:pPr>
        <w:rPr>
          <w:rFonts w:asciiTheme="minorHAnsi" w:hAnsiTheme="minorHAnsi" w:cstheme="minorHAnsi"/>
          <w:b/>
          <w:sz w:val="22"/>
          <w:szCs w:val="22"/>
          <w:u w:val="single"/>
        </w:rPr>
      </w:pPr>
    </w:p>
    <w:tbl>
      <w:tblPr>
        <w:tblStyle w:val="Mkatabulky"/>
        <w:tblW w:w="0" w:type="auto"/>
        <w:tblInd w:w="534" w:type="dxa"/>
        <w:tblLook w:val="04A0" w:firstRow="1" w:lastRow="0" w:firstColumn="1" w:lastColumn="0" w:noHBand="0" w:noVBand="1"/>
      </w:tblPr>
      <w:tblGrid>
        <w:gridCol w:w="1257"/>
        <w:gridCol w:w="6694"/>
        <w:gridCol w:w="5509"/>
      </w:tblGrid>
      <w:tr w:rsidR="00937F89" w:rsidRPr="007C4675" w14:paraId="04EC1AEE" w14:textId="77777777" w:rsidTr="00937F89">
        <w:trPr>
          <w:trHeight w:val="844"/>
        </w:trPr>
        <w:tc>
          <w:tcPr>
            <w:tcW w:w="1257" w:type="dxa"/>
            <w:vAlign w:val="center"/>
          </w:tcPr>
          <w:p w14:paraId="07B9715A" w14:textId="77777777" w:rsidR="00937F89" w:rsidRPr="007C4675" w:rsidRDefault="00937F89" w:rsidP="00AC41A4">
            <w:pPr>
              <w:jc w:val="center"/>
              <w:rPr>
                <w:rFonts w:ascii="Calibri" w:hAnsi="Calibri" w:cs="Calibri"/>
                <w:b/>
                <w:bCs/>
                <w:color w:val="000000"/>
                <w:sz w:val="30"/>
                <w:szCs w:val="30"/>
                <w:lang w:eastAsia="cs-CZ"/>
              </w:rPr>
            </w:pPr>
            <w:r w:rsidRPr="007C4675">
              <w:rPr>
                <w:rFonts w:ascii="Calibri" w:hAnsi="Calibri" w:cs="Calibri"/>
                <w:b/>
                <w:bCs/>
                <w:color w:val="000000"/>
                <w:sz w:val="30"/>
                <w:szCs w:val="30"/>
                <w:lang w:eastAsia="cs-CZ"/>
              </w:rPr>
              <w:t>Gestor</w:t>
            </w:r>
          </w:p>
        </w:tc>
        <w:tc>
          <w:tcPr>
            <w:tcW w:w="6694" w:type="dxa"/>
            <w:vAlign w:val="center"/>
          </w:tcPr>
          <w:p w14:paraId="703E4A95" w14:textId="77777777" w:rsidR="00937F89" w:rsidRPr="007C4675" w:rsidRDefault="00937F89" w:rsidP="00AC41A4">
            <w:pPr>
              <w:jc w:val="center"/>
              <w:rPr>
                <w:rFonts w:ascii="Calibri" w:hAnsi="Calibri" w:cs="Calibri"/>
                <w:b/>
                <w:bCs/>
                <w:color w:val="000000"/>
                <w:sz w:val="30"/>
                <w:szCs w:val="30"/>
                <w:lang w:eastAsia="cs-CZ"/>
              </w:rPr>
            </w:pPr>
            <w:r w:rsidRPr="007C4675">
              <w:rPr>
                <w:rFonts w:ascii="Calibri" w:hAnsi="Calibri" w:cs="Calibri"/>
                <w:b/>
                <w:bCs/>
                <w:color w:val="000000"/>
                <w:sz w:val="30"/>
                <w:szCs w:val="30"/>
                <w:lang w:eastAsia="cs-CZ"/>
              </w:rPr>
              <w:t>Popis zatěžující povinnosti</w:t>
            </w:r>
          </w:p>
        </w:tc>
        <w:tc>
          <w:tcPr>
            <w:tcW w:w="5509" w:type="dxa"/>
            <w:vAlign w:val="center"/>
          </w:tcPr>
          <w:p w14:paraId="20C01B82" w14:textId="77777777" w:rsidR="00937F89" w:rsidRPr="007C4675" w:rsidRDefault="00937F89" w:rsidP="00AC41A4">
            <w:pPr>
              <w:jc w:val="center"/>
              <w:rPr>
                <w:rFonts w:ascii="Calibri" w:hAnsi="Calibri" w:cs="Calibri"/>
                <w:b/>
                <w:bCs/>
                <w:color w:val="000000"/>
                <w:sz w:val="30"/>
                <w:szCs w:val="30"/>
                <w:lang w:eastAsia="cs-CZ"/>
              </w:rPr>
            </w:pPr>
            <w:r w:rsidRPr="007C4675">
              <w:rPr>
                <w:rFonts w:ascii="Calibri" w:hAnsi="Calibri" w:cs="Calibri"/>
                <w:b/>
                <w:bCs/>
                <w:color w:val="000000"/>
                <w:sz w:val="30"/>
                <w:szCs w:val="30"/>
                <w:lang w:eastAsia="cs-CZ"/>
              </w:rPr>
              <w:t>Návrh řešení</w:t>
            </w:r>
          </w:p>
        </w:tc>
      </w:tr>
      <w:tr w:rsidR="00937F89" w:rsidRPr="00937F89" w14:paraId="11A65722" w14:textId="77777777" w:rsidTr="00937F89">
        <w:tc>
          <w:tcPr>
            <w:tcW w:w="1257" w:type="dxa"/>
          </w:tcPr>
          <w:p w14:paraId="70D1C19F" w14:textId="77777777" w:rsidR="00937F89" w:rsidRPr="00937F89" w:rsidRDefault="00937F89" w:rsidP="00AC41A4">
            <w:pPr>
              <w:rPr>
                <w:rFonts w:asciiTheme="minorHAnsi" w:hAnsiTheme="minorHAnsi" w:cstheme="minorHAnsi"/>
                <w:sz w:val="22"/>
                <w:szCs w:val="22"/>
              </w:rPr>
            </w:pPr>
            <w:r w:rsidRPr="00937F89">
              <w:rPr>
                <w:rFonts w:asciiTheme="minorHAnsi" w:hAnsiTheme="minorHAnsi" w:cstheme="minorHAnsi"/>
                <w:sz w:val="22"/>
                <w:szCs w:val="22"/>
              </w:rPr>
              <w:t>MPSV</w:t>
            </w:r>
          </w:p>
        </w:tc>
        <w:tc>
          <w:tcPr>
            <w:tcW w:w="6694" w:type="dxa"/>
          </w:tcPr>
          <w:p w14:paraId="39FDF490"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rPr>
              <w:t xml:space="preserve">Zahrnutí Horské služby ČR, </w:t>
            </w:r>
            <w:proofErr w:type="spellStart"/>
            <w:r w:rsidRPr="00937F89">
              <w:rPr>
                <w:rFonts w:asciiTheme="minorHAnsi" w:hAnsiTheme="minorHAnsi" w:cstheme="minorHAnsi"/>
                <w:color w:val="000000"/>
                <w:sz w:val="22"/>
                <w:szCs w:val="22"/>
              </w:rPr>
              <w:t>o.p.s</w:t>
            </w:r>
            <w:proofErr w:type="spellEnd"/>
            <w:r w:rsidRPr="00937F89">
              <w:rPr>
                <w:rFonts w:asciiTheme="minorHAnsi" w:hAnsiTheme="minorHAnsi" w:cstheme="minorHAnsi"/>
                <w:color w:val="000000"/>
                <w:sz w:val="22"/>
                <w:szCs w:val="22"/>
              </w:rPr>
              <w:t xml:space="preserve"> do ustanovení § 147 odst. 2 zákona č. 435/2004 Sb., o zaměstnanosti. Domníváme se, že se jedná o systémový návrh. Z povahy činnosti této organizace není možné, aby tato zaměstnávala zákonem o zaměstnanosti požadované procento osob se zdravotním postižením dle ustanovení § 81 odst. 1 zákona o zaměstnanosti, je tedy zřejmé, že tento zaměstnavatel musí plnit tuto povinnost náhradním způsobem, kdy prostředky na toto plnění musí zahrnout do žádosti o dotaci na činnost na další rok. Zřizovatelem Horské služby ČR, o.p.s. je Ministerstvo pro místní rozvoj a její činnost je financována z dotací poskytovaných na základě každoroční žádosti. Jedná se tedy o zbytečnou administrativní žádost, neboť na plnění této povinnosti obdrží finanční prostředky ze státního rozpočtu a následně je do něj zase odvede.</w:t>
            </w:r>
          </w:p>
        </w:tc>
        <w:tc>
          <w:tcPr>
            <w:tcW w:w="5509" w:type="dxa"/>
          </w:tcPr>
          <w:p w14:paraId="5E9BFF45" w14:textId="77777777" w:rsidR="00937F89" w:rsidRPr="00937F89" w:rsidRDefault="00937F89" w:rsidP="00AC41A4">
            <w:pPr>
              <w:rPr>
                <w:rFonts w:asciiTheme="minorHAnsi" w:hAnsiTheme="minorHAnsi" w:cstheme="minorHAnsi"/>
                <w:sz w:val="22"/>
                <w:szCs w:val="22"/>
              </w:rPr>
            </w:pPr>
            <w:r w:rsidRPr="00937F89">
              <w:rPr>
                <w:rFonts w:asciiTheme="minorHAnsi" w:hAnsiTheme="minorHAnsi" w:cstheme="minorHAnsi"/>
                <w:sz w:val="22"/>
                <w:szCs w:val="22"/>
              </w:rPr>
              <w:t>Rozšířit ustanovení § 147 odst. 2 zákona o zaměstnanosti o Horskou službu ČR, o.p.s.</w:t>
            </w:r>
          </w:p>
          <w:p w14:paraId="219CD46F" w14:textId="77777777" w:rsidR="00937F89" w:rsidRPr="00937F89" w:rsidRDefault="00937F89" w:rsidP="00AC41A4">
            <w:pPr>
              <w:rPr>
                <w:rFonts w:asciiTheme="minorHAnsi" w:hAnsiTheme="minorHAnsi" w:cstheme="minorHAnsi"/>
                <w:sz w:val="22"/>
                <w:szCs w:val="22"/>
                <w:u w:val="single"/>
              </w:rPr>
            </w:pPr>
            <w:r w:rsidRPr="00937F89">
              <w:rPr>
                <w:rFonts w:asciiTheme="minorHAnsi" w:hAnsiTheme="minorHAnsi" w:cstheme="minorHAnsi"/>
                <w:sz w:val="22"/>
                <w:szCs w:val="22"/>
                <w:u w:val="single"/>
              </w:rPr>
              <w:t>Připomínka UZS ČR:</w:t>
            </w:r>
            <w:bookmarkStart w:id="0" w:name="_GoBack"/>
            <w:bookmarkEnd w:id="0"/>
          </w:p>
          <w:p w14:paraId="188E5C0D" w14:textId="77777777" w:rsidR="00937F89" w:rsidRPr="00937F89" w:rsidRDefault="00937F89" w:rsidP="00AC41A4">
            <w:pPr>
              <w:pBdr>
                <w:bottom w:val="single" w:sz="4" w:space="1" w:color="auto"/>
              </w:pBdr>
              <w:rPr>
                <w:rFonts w:asciiTheme="minorHAnsi" w:hAnsiTheme="minorHAnsi" w:cstheme="minorHAnsi"/>
                <w:sz w:val="22"/>
                <w:szCs w:val="22"/>
              </w:rPr>
            </w:pPr>
            <w:r w:rsidRPr="00937F89">
              <w:rPr>
                <w:rFonts w:asciiTheme="minorHAnsi" w:hAnsiTheme="minorHAnsi" w:cstheme="minorHAnsi"/>
                <w:sz w:val="22"/>
                <w:szCs w:val="22"/>
              </w:rPr>
              <w:t>Tato změna by se měla týkat celé řady dalších NNO, které musí zaměstnávat pracovníky se specifickým vzděláním a specifickými dovednostmi a znalostmi. Podmínku totiž není možno dodržet, a to ani formou náhradního plnění.</w:t>
            </w:r>
          </w:p>
          <w:p w14:paraId="286E1B44" w14:textId="77777777" w:rsidR="00937F89" w:rsidRPr="00937F89" w:rsidRDefault="00937F89" w:rsidP="00AC41A4">
            <w:pPr>
              <w:pBdr>
                <w:bottom w:val="single" w:sz="4" w:space="1" w:color="auto"/>
              </w:pBdr>
              <w:rPr>
                <w:rFonts w:asciiTheme="minorHAnsi" w:hAnsiTheme="minorHAnsi" w:cstheme="minorHAnsi"/>
                <w:b/>
                <w:sz w:val="22"/>
                <w:szCs w:val="22"/>
              </w:rPr>
            </w:pPr>
            <w:r w:rsidRPr="00937F89">
              <w:rPr>
                <w:rFonts w:asciiTheme="minorHAnsi" w:hAnsiTheme="minorHAnsi" w:cstheme="minorHAnsi"/>
                <w:b/>
                <w:sz w:val="22"/>
                <w:szCs w:val="22"/>
              </w:rPr>
              <w:t>Odůvodnění:</w:t>
            </w:r>
          </w:p>
          <w:p w14:paraId="2318D08E" w14:textId="77777777" w:rsidR="00937F89" w:rsidRPr="00937F89" w:rsidRDefault="00937F89" w:rsidP="00AC41A4">
            <w:pPr>
              <w:pBdr>
                <w:bottom w:val="single" w:sz="4" w:space="1" w:color="auto"/>
              </w:pBdr>
              <w:rPr>
                <w:rFonts w:asciiTheme="minorHAnsi" w:hAnsiTheme="minorHAnsi" w:cstheme="minorHAnsi"/>
                <w:sz w:val="22"/>
                <w:szCs w:val="22"/>
              </w:rPr>
            </w:pPr>
            <w:r w:rsidRPr="00937F89">
              <w:rPr>
                <w:rFonts w:asciiTheme="minorHAnsi" w:hAnsiTheme="minorHAnsi" w:cstheme="minorHAnsi"/>
                <w:sz w:val="22"/>
                <w:szCs w:val="22"/>
              </w:rPr>
              <w:t xml:space="preserve">NNO poskytující sociální služby jsou financovány téměř výhradně formou státní dotace nebo formou dotace z projektů. Finance jsou poskytovány účelově, a to i na konkrétní pracovní pozice. Není tedy prostor či možnost financovat požadované procento osob se zdravotním postižením dle zákona. Pracovní pozice často vyžadují specifické znalosti (odborné znalosti jazykové, psychologie, sociální práce) i dovednosti a v případě terénních služeb i fyzickou zdatnost. Řešit situaci formou náhradního plnění </w:t>
            </w:r>
            <w:r w:rsidRPr="00937F89">
              <w:rPr>
                <w:rFonts w:asciiTheme="minorHAnsi" w:hAnsiTheme="minorHAnsi" w:cstheme="minorHAnsi"/>
                <w:sz w:val="22"/>
                <w:szCs w:val="22"/>
              </w:rPr>
              <w:lastRenderedPageBreak/>
              <w:t>často u služeb odborného sociálního poradenství není možné, protože výše plnění daleko přesahuje finanční možnosti organizace, ale i potřebnost nákupu takových produktů. Jedná se o nesystémovou a silně diskriminační záležitost, která je pro řadu NNO těžko řešitelná. Faktem je i skutečnost, že na trhu práce prostě nejsou v dostatečné míře odborníci se specifickým vzděláním a znalostmi, kteří by se o takovou práci mohli ucházet a ještě se zdravotním postižením.  Tudíž se ani do takových organizací nehlásí a organizace nemohou tedy nikoho přijmout, i kdyby chtěly. Dochází tedy k paradoxu, kdy finance, pokud jsou na náhradní plnění zohledněny v dotaci, dostane organizace od státu a zase je na konci roku státu vrací. Celá věc ztrácí smysl a logiku.</w:t>
            </w:r>
          </w:p>
          <w:p w14:paraId="0A058AB1" w14:textId="77777777" w:rsidR="00937F89" w:rsidRPr="00937F89" w:rsidRDefault="00937F89" w:rsidP="00AC41A4">
            <w:pPr>
              <w:rPr>
                <w:rFonts w:asciiTheme="minorHAnsi" w:hAnsiTheme="minorHAnsi" w:cstheme="minorHAnsi"/>
                <w:sz w:val="22"/>
                <w:szCs w:val="22"/>
              </w:rPr>
            </w:pPr>
          </w:p>
        </w:tc>
      </w:tr>
      <w:tr w:rsidR="00937F89" w:rsidRPr="00937F89" w14:paraId="0300251B" w14:textId="77777777" w:rsidTr="00937F89">
        <w:tc>
          <w:tcPr>
            <w:tcW w:w="1257" w:type="dxa"/>
          </w:tcPr>
          <w:p w14:paraId="35697AFC" w14:textId="77777777" w:rsidR="00937F89" w:rsidRPr="00937F89" w:rsidRDefault="00937F89" w:rsidP="00AC41A4">
            <w:pPr>
              <w:rPr>
                <w:rFonts w:asciiTheme="minorHAnsi" w:hAnsiTheme="minorHAnsi" w:cstheme="minorHAnsi"/>
                <w:sz w:val="22"/>
                <w:szCs w:val="22"/>
              </w:rPr>
            </w:pPr>
            <w:r w:rsidRPr="00937F89">
              <w:rPr>
                <w:rFonts w:asciiTheme="minorHAnsi" w:hAnsiTheme="minorHAnsi" w:cstheme="minorHAnsi"/>
                <w:sz w:val="22"/>
                <w:szCs w:val="22"/>
              </w:rPr>
              <w:lastRenderedPageBreak/>
              <w:t>MPO</w:t>
            </w:r>
          </w:p>
        </w:tc>
        <w:tc>
          <w:tcPr>
            <w:tcW w:w="6694" w:type="dxa"/>
          </w:tcPr>
          <w:p w14:paraId="2A9FE1E7"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rPr>
              <w:t>Zákon č. 406/2000 Sb., o hospodaření energií.</w:t>
            </w:r>
            <w:r w:rsidRPr="00937F89">
              <w:rPr>
                <w:rFonts w:asciiTheme="minorHAnsi" w:hAnsiTheme="minorHAnsi" w:cstheme="minorHAnsi"/>
                <w:color w:val="000000"/>
                <w:sz w:val="22"/>
                <w:szCs w:val="22"/>
              </w:rPr>
              <w:br/>
              <w:t>Pokud dochází k prodeji části nemovitosti či jednotky v budově, ve které majitel budovy nezajistil posouzení energetické náročnosti budovy a Průkaz energetické náročnosti budovy (PENB), postupuje se podle § 7a odst. 2 písm. e) a § 7a odst. 3 písm. d) zákona o hospodaření energií. Tato situace se vzhledem k nutnosti uvést třídu energetické náročnosti formálně řeší tak, že se uvádí vždy automaticky nejhorší stupeň, tedy stupeň "G". Realitní zprostředkovatelé i prodávající jsou pak dotazování, zda není možné předložit průkaz energetické náročnosti budovy, aby bylo jasné, zda je budova zařazena do uvedené kategorie z důvodu zcela nevyhovujícího výsledku posouzení energetické náročnosti budovy nebo z důvodu chybějícího průkazu energetické náročnosti budovy. Dochází tak ke zcela zbytečným komplikacím v komunikaci mezi klientem a prodávajícím či realitním zprostředkovatelem.</w:t>
            </w:r>
          </w:p>
        </w:tc>
        <w:tc>
          <w:tcPr>
            <w:tcW w:w="5509" w:type="dxa"/>
          </w:tcPr>
          <w:p w14:paraId="52AA11EA"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rPr>
              <w:t>Revidovat tak, aby v případě neexistence průkazu energetické náročnosti budovy nebylo vynucováno na prodávajícím či na realitním zprostředkovateli, aby byl průkaz energetické náročnosti budovy předložen ve formální podobě třídy "G". Situace by měla být řešena pravdivým konstatováním, že průkaz energetické náročnosti budovy neexistuje.</w:t>
            </w:r>
          </w:p>
          <w:p w14:paraId="617E2449" w14:textId="77777777" w:rsidR="00937F89" w:rsidRPr="00937F89" w:rsidRDefault="00937F89" w:rsidP="00AC41A4">
            <w:pPr>
              <w:rPr>
                <w:rFonts w:asciiTheme="minorHAnsi" w:hAnsiTheme="minorHAnsi" w:cstheme="minorHAnsi"/>
                <w:color w:val="000000"/>
                <w:sz w:val="22"/>
                <w:szCs w:val="22"/>
                <w:u w:val="single"/>
              </w:rPr>
            </w:pPr>
            <w:r w:rsidRPr="00937F89">
              <w:rPr>
                <w:rFonts w:asciiTheme="minorHAnsi" w:hAnsiTheme="minorHAnsi" w:cstheme="minorHAnsi"/>
                <w:color w:val="000000"/>
                <w:sz w:val="22"/>
                <w:szCs w:val="22"/>
                <w:u w:val="single"/>
              </w:rPr>
              <w:t>Připomínka UZS ČR:</w:t>
            </w:r>
          </w:p>
          <w:p w14:paraId="3F42DC09"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lang w:eastAsia="en-US"/>
              </w:rPr>
              <w:t>Domníváme se, že tento návrh jde proti potřebě zajistit PENB pro nemovitosti v </w:t>
            </w:r>
            <w:r w:rsidRPr="00937F89">
              <w:rPr>
                <w:rFonts w:asciiTheme="minorHAnsi" w:hAnsiTheme="minorHAnsi" w:cstheme="minorHAnsi"/>
                <w:color w:val="000000"/>
                <w:sz w:val="22"/>
                <w:szCs w:val="22"/>
              </w:rPr>
              <w:t>Č</w:t>
            </w:r>
            <w:r w:rsidRPr="00937F89">
              <w:rPr>
                <w:rFonts w:asciiTheme="minorHAnsi" w:hAnsiTheme="minorHAnsi" w:cstheme="minorHAnsi"/>
                <w:color w:val="000000"/>
                <w:sz w:val="22"/>
                <w:szCs w:val="22"/>
                <w:lang w:eastAsia="en-US"/>
              </w:rPr>
              <w:t xml:space="preserve">R, podporuje nedodržování zákona, výrazně zpomalí tlak na zajištění štítků a získání nějaké datové základny a ani nezjednodušuje celý proces. </w:t>
            </w:r>
            <w:r w:rsidRPr="00937F89">
              <w:rPr>
                <w:rFonts w:asciiTheme="minorHAnsi" w:hAnsiTheme="minorHAnsi" w:cstheme="minorHAnsi"/>
                <w:color w:val="000000"/>
                <w:sz w:val="22"/>
                <w:szCs w:val="22"/>
                <w:lang w:eastAsia="en-US"/>
              </w:rPr>
              <w:lastRenderedPageBreak/>
              <w:t>Realitní kanceláře již teď umí pracovat s danou situací, kdy u nemovitosti uvádí: G z důvodu nedodání štítku.</w:t>
            </w:r>
          </w:p>
        </w:tc>
      </w:tr>
      <w:tr w:rsidR="00937F89" w:rsidRPr="00937F89" w14:paraId="19B128B6" w14:textId="77777777" w:rsidTr="00937F89">
        <w:tc>
          <w:tcPr>
            <w:tcW w:w="1257" w:type="dxa"/>
          </w:tcPr>
          <w:p w14:paraId="379C3C80" w14:textId="77777777" w:rsidR="00937F89" w:rsidRPr="00937F89" w:rsidRDefault="00937F89" w:rsidP="00AC41A4">
            <w:pPr>
              <w:rPr>
                <w:rFonts w:asciiTheme="minorHAnsi" w:hAnsiTheme="minorHAnsi" w:cstheme="minorHAnsi"/>
                <w:sz w:val="22"/>
                <w:szCs w:val="22"/>
              </w:rPr>
            </w:pPr>
            <w:r w:rsidRPr="00937F89">
              <w:rPr>
                <w:rFonts w:asciiTheme="minorHAnsi" w:hAnsiTheme="minorHAnsi" w:cstheme="minorHAnsi"/>
                <w:sz w:val="22"/>
                <w:szCs w:val="22"/>
              </w:rPr>
              <w:lastRenderedPageBreak/>
              <w:t>MPO</w:t>
            </w:r>
          </w:p>
        </w:tc>
        <w:tc>
          <w:tcPr>
            <w:tcW w:w="6694" w:type="dxa"/>
          </w:tcPr>
          <w:p w14:paraId="7FC9BD1C"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rPr>
              <w:t>Zákon č. 311/2006 Sb., o pohonných hmotách - povinné vykazování údajů o množství elektřiny spotřebované pro dobíjení vozidel.</w:t>
            </w:r>
            <w:r w:rsidRPr="00937F89">
              <w:rPr>
                <w:rFonts w:asciiTheme="minorHAnsi" w:hAnsiTheme="minorHAnsi" w:cstheme="minorHAnsi"/>
                <w:color w:val="000000"/>
                <w:sz w:val="22"/>
                <w:szCs w:val="22"/>
              </w:rPr>
              <w:br/>
              <w:t xml:space="preserve">Tato povinnost se týká i neveřejných dobíjecích stanic ve firmách včetně MSP nebo OSVČ. Tedy se musí pravidelně hlásit, kolik proudu se dobije do služebních aut na firemních dobíječkách (včetně jednoduchých </w:t>
            </w:r>
            <w:proofErr w:type="spellStart"/>
            <w:r w:rsidRPr="00937F89">
              <w:rPr>
                <w:rFonts w:asciiTheme="minorHAnsi" w:hAnsiTheme="minorHAnsi" w:cstheme="minorHAnsi"/>
                <w:color w:val="000000"/>
                <w:sz w:val="22"/>
                <w:szCs w:val="22"/>
              </w:rPr>
              <w:t>wallboxů</w:t>
            </w:r>
            <w:proofErr w:type="spellEnd"/>
            <w:r w:rsidRPr="00937F89">
              <w:rPr>
                <w:rFonts w:asciiTheme="minorHAnsi" w:hAnsiTheme="minorHAnsi" w:cstheme="minorHAnsi"/>
                <w:color w:val="000000"/>
                <w:sz w:val="22"/>
                <w:szCs w:val="22"/>
              </w:rPr>
              <w:t xml:space="preserve">). Povinná je i evidence neveřejných dobíjecích stanic, ale vykazování dobitého proudu je ještě horší. Údaje o množství elektřiny se navíc hlásí za každou dobíjecí stanic zvlášť. Tato povinnost se týká i autosalonů, které mají dobíječky jen pro demonstraci zákazníkům.  </w:t>
            </w:r>
            <w:r w:rsidRPr="00937F89">
              <w:rPr>
                <w:rFonts w:asciiTheme="minorHAnsi" w:hAnsiTheme="minorHAnsi" w:cstheme="minorHAnsi"/>
                <w:color w:val="000000"/>
                <w:sz w:val="22"/>
                <w:szCs w:val="22"/>
              </w:rPr>
              <w:br/>
              <w:t xml:space="preserve">Jako zatěžující povinnost ke zrušení se navrhuje povinnost provozovatelů dobíjecích stanic, kteří musí každoročně k 28. únoru hlásit MPO údaje o množství spotřebované elektřiny spotřebované pro dobíjení vozidel v jím provozovaných dobíjecích stanicích v předchozím roce a pokud jím provozovaná dobíjecí stanice není připojena k elektrizační soustavě ČR, údaj o podílu elektřiny z obnovitelných zdrojů v rámci jím spotřebované elektřiny pro dobíjení vozidel z této stanice za předchozí kalendářní rok. </w:t>
            </w:r>
          </w:p>
        </w:tc>
        <w:tc>
          <w:tcPr>
            <w:tcW w:w="5509" w:type="dxa"/>
          </w:tcPr>
          <w:p w14:paraId="7968DE5E" w14:textId="77777777" w:rsidR="00937F89" w:rsidRPr="00937F89" w:rsidRDefault="00937F89" w:rsidP="00AC41A4">
            <w:pPr>
              <w:rPr>
                <w:rFonts w:asciiTheme="minorHAnsi" w:hAnsiTheme="minorHAnsi" w:cstheme="minorHAnsi"/>
                <w:color w:val="000000"/>
                <w:sz w:val="22"/>
                <w:szCs w:val="22"/>
              </w:rPr>
            </w:pPr>
            <w:r w:rsidRPr="00937F89">
              <w:rPr>
                <w:rFonts w:asciiTheme="minorHAnsi" w:hAnsiTheme="minorHAnsi" w:cstheme="minorHAnsi"/>
                <w:color w:val="000000"/>
                <w:sz w:val="22"/>
                <w:szCs w:val="22"/>
              </w:rPr>
              <w:t>Zrušit, případně zvážit jiné, méně administrativně zatěžující opatření. Např. zvážit možnost udělení výjimky pro autosalony, u kterých se v tomto případě jedná pouze o předvádění zákazníkům.</w:t>
            </w:r>
          </w:p>
          <w:p w14:paraId="4727BE73" w14:textId="77777777" w:rsidR="00937F89" w:rsidRPr="00937F89" w:rsidRDefault="00937F89" w:rsidP="00AC41A4">
            <w:pPr>
              <w:rPr>
                <w:rFonts w:asciiTheme="minorHAnsi" w:hAnsiTheme="minorHAnsi" w:cstheme="minorHAnsi"/>
                <w:color w:val="000000"/>
                <w:sz w:val="22"/>
                <w:szCs w:val="22"/>
                <w:u w:val="single"/>
              </w:rPr>
            </w:pPr>
            <w:r w:rsidRPr="00937F89">
              <w:rPr>
                <w:rFonts w:asciiTheme="minorHAnsi" w:hAnsiTheme="minorHAnsi" w:cstheme="minorHAnsi"/>
                <w:color w:val="000000"/>
                <w:sz w:val="22"/>
                <w:szCs w:val="22"/>
                <w:u w:val="single"/>
              </w:rPr>
              <w:t>Připomínka UZS ČR:</w:t>
            </w:r>
          </w:p>
          <w:p w14:paraId="5AC216D2" w14:textId="77777777" w:rsidR="00937F89" w:rsidRPr="00A96016" w:rsidRDefault="00937F89" w:rsidP="00AC41A4">
            <w:pPr>
              <w:spacing w:before="100" w:beforeAutospacing="1" w:after="100" w:afterAutospacing="1"/>
              <w:rPr>
                <w:rFonts w:asciiTheme="minorHAnsi" w:eastAsiaTheme="minorHAnsi" w:hAnsiTheme="minorHAnsi" w:cstheme="minorHAnsi"/>
                <w:color w:val="000000"/>
                <w:sz w:val="22"/>
                <w:szCs w:val="22"/>
                <w:lang w:eastAsia="en-US"/>
              </w:rPr>
            </w:pPr>
            <w:r w:rsidRPr="00A96016">
              <w:rPr>
                <w:rFonts w:asciiTheme="minorHAnsi" w:eastAsiaTheme="minorHAnsi" w:hAnsiTheme="minorHAnsi" w:cstheme="minorHAnsi"/>
                <w:color w:val="000000"/>
                <w:sz w:val="22"/>
                <w:szCs w:val="22"/>
              </w:rPr>
              <w:t xml:space="preserve">Pokud nebude povinnost zavedena plošně a budou z ní existovat výjimky, pak ji doporučujeme  spíše zrušit, jako podporu </w:t>
            </w:r>
            <w:proofErr w:type="spellStart"/>
            <w:r w:rsidRPr="00A96016">
              <w:rPr>
                <w:rFonts w:asciiTheme="minorHAnsi" w:eastAsiaTheme="minorHAnsi" w:hAnsiTheme="minorHAnsi" w:cstheme="minorHAnsi"/>
                <w:color w:val="000000"/>
                <w:sz w:val="22"/>
                <w:szCs w:val="22"/>
              </w:rPr>
              <w:t>elektromobility</w:t>
            </w:r>
            <w:proofErr w:type="spellEnd"/>
            <w:r w:rsidRPr="00A96016">
              <w:rPr>
                <w:rFonts w:asciiTheme="minorHAnsi" w:eastAsiaTheme="minorHAnsi" w:hAnsiTheme="minorHAnsi" w:cstheme="minorHAnsi"/>
                <w:color w:val="000000"/>
                <w:sz w:val="22"/>
                <w:szCs w:val="22"/>
              </w:rPr>
              <w:t xml:space="preserve">. Výjimka nic neřeší. </w:t>
            </w:r>
          </w:p>
          <w:p w14:paraId="62F25658" w14:textId="77777777" w:rsidR="00937F89" w:rsidRPr="00A96016" w:rsidRDefault="00937F89" w:rsidP="00AC41A4">
            <w:pPr>
              <w:spacing w:before="100" w:beforeAutospacing="1" w:after="100" w:afterAutospacing="1"/>
              <w:rPr>
                <w:rFonts w:asciiTheme="minorHAnsi" w:eastAsiaTheme="minorHAnsi" w:hAnsiTheme="minorHAnsi" w:cstheme="minorHAnsi"/>
                <w:color w:val="000000"/>
                <w:sz w:val="22"/>
                <w:szCs w:val="22"/>
                <w:lang w:eastAsia="en-US"/>
              </w:rPr>
            </w:pPr>
            <w:r w:rsidRPr="00A96016">
              <w:rPr>
                <w:rFonts w:asciiTheme="minorHAnsi" w:eastAsiaTheme="minorHAnsi" w:hAnsiTheme="minorHAnsi" w:cstheme="minorHAnsi"/>
                <w:color w:val="000000"/>
                <w:sz w:val="22"/>
                <w:szCs w:val="22"/>
              </w:rPr>
              <w:t>Příklad z praxe: Z pohledu bankovních Leasingových společností je současné ustanovení komplikující. Sporné místo k vyjasnění, kdo má hlásit spotřebu elektřiny, je pak u operativního leasingu (vnímáme</w:t>
            </w:r>
            <w:r w:rsidRPr="00937F89">
              <w:rPr>
                <w:rFonts w:asciiTheme="minorHAnsi" w:hAnsiTheme="minorHAnsi" w:cstheme="minorHAnsi"/>
                <w:color w:val="000000"/>
                <w:sz w:val="22"/>
                <w:szCs w:val="22"/>
              </w:rPr>
              <w:t>,</w:t>
            </w:r>
            <w:r w:rsidRPr="00A96016">
              <w:rPr>
                <w:rFonts w:asciiTheme="minorHAnsi" w:eastAsiaTheme="minorHAnsi" w:hAnsiTheme="minorHAnsi" w:cstheme="minorHAnsi"/>
                <w:color w:val="000000"/>
                <w:sz w:val="22"/>
                <w:szCs w:val="22"/>
              </w:rPr>
              <w:t xml:space="preserve"> že provozovatel, ale leasing by musel odpovědnost smluvně přenést na zákazníka).</w:t>
            </w:r>
          </w:p>
          <w:p w14:paraId="05E768EE" w14:textId="77777777" w:rsidR="00937F89" w:rsidRPr="00937F89" w:rsidRDefault="00937F89" w:rsidP="00AC41A4">
            <w:pPr>
              <w:rPr>
                <w:rFonts w:asciiTheme="minorHAnsi" w:hAnsiTheme="minorHAnsi" w:cstheme="minorHAnsi"/>
                <w:color w:val="000000"/>
                <w:sz w:val="22"/>
                <w:szCs w:val="22"/>
              </w:rPr>
            </w:pPr>
          </w:p>
        </w:tc>
      </w:tr>
    </w:tbl>
    <w:p w14:paraId="54D327E8" w14:textId="77777777" w:rsidR="00937F89" w:rsidRPr="00937F89" w:rsidRDefault="00937F89" w:rsidP="00937F89">
      <w:pPr>
        <w:rPr>
          <w:rFonts w:asciiTheme="minorHAnsi" w:hAnsiTheme="minorHAnsi" w:cstheme="minorHAnsi"/>
          <w:sz w:val="22"/>
          <w:szCs w:val="22"/>
        </w:rPr>
      </w:pPr>
      <w:r w:rsidRPr="00937F89">
        <w:rPr>
          <w:rFonts w:asciiTheme="minorHAnsi" w:hAnsiTheme="minorHAnsi" w:cstheme="minorHAnsi"/>
          <w:sz w:val="22"/>
          <w:szCs w:val="22"/>
        </w:rPr>
        <w:t>Kontaktní osoba:</w:t>
      </w:r>
    </w:p>
    <w:p w14:paraId="43AECE84" w14:textId="2D8E8C93" w:rsidR="00937F89" w:rsidRPr="00937F89" w:rsidRDefault="00937F89" w:rsidP="00937F89">
      <w:pPr>
        <w:rPr>
          <w:rFonts w:asciiTheme="minorHAnsi" w:hAnsiTheme="minorHAnsi" w:cstheme="minorHAnsi"/>
          <w:sz w:val="22"/>
          <w:szCs w:val="22"/>
        </w:rPr>
      </w:pPr>
      <w:r w:rsidRPr="00937F89">
        <w:rPr>
          <w:rFonts w:asciiTheme="minorHAnsi" w:hAnsiTheme="minorHAnsi" w:cstheme="minorHAnsi"/>
          <w:sz w:val="22"/>
          <w:szCs w:val="22"/>
        </w:rPr>
        <w:t xml:space="preserve">Mgr. Jakub Machytka, e-mail: </w:t>
      </w:r>
      <w:hyperlink r:id="rId8" w:history="1">
        <w:r w:rsidRPr="00937F89">
          <w:rPr>
            <w:rStyle w:val="Hypertextovodkaz"/>
            <w:rFonts w:asciiTheme="minorHAnsi" w:hAnsiTheme="minorHAnsi" w:cstheme="minorHAnsi"/>
            <w:sz w:val="22"/>
            <w:szCs w:val="22"/>
          </w:rPr>
          <w:t>jakub.machytka@uzs.cz</w:t>
        </w:r>
      </w:hyperlink>
      <w:r w:rsidRPr="00937F89">
        <w:rPr>
          <w:rFonts w:asciiTheme="minorHAnsi" w:hAnsiTheme="minorHAnsi" w:cstheme="minorHAnsi"/>
          <w:sz w:val="22"/>
          <w:szCs w:val="22"/>
        </w:rPr>
        <w:t>, tel.: 727 956</w:t>
      </w:r>
      <w:r w:rsidRPr="00937F89">
        <w:rPr>
          <w:rFonts w:asciiTheme="minorHAnsi" w:hAnsiTheme="minorHAnsi" w:cstheme="minorHAnsi"/>
          <w:sz w:val="22"/>
          <w:szCs w:val="22"/>
        </w:rPr>
        <w:t> </w:t>
      </w:r>
      <w:r w:rsidRPr="00937F89">
        <w:rPr>
          <w:rFonts w:asciiTheme="minorHAnsi" w:hAnsiTheme="minorHAnsi" w:cstheme="minorHAnsi"/>
          <w:sz w:val="22"/>
          <w:szCs w:val="22"/>
        </w:rPr>
        <w:t>059</w:t>
      </w:r>
    </w:p>
    <w:p w14:paraId="3B7B31E9" w14:textId="5B13E8AA" w:rsidR="00AB373A" w:rsidRPr="00F679B9" w:rsidRDefault="00AB373A" w:rsidP="002E7A97">
      <w:pPr>
        <w:shd w:val="clear" w:color="auto" w:fill="FFFFFF"/>
        <w:jc w:val="both"/>
        <w:rPr>
          <w:rFonts w:asciiTheme="minorHAnsi" w:hAnsiTheme="minorHAnsi" w:cstheme="minorHAnsi"/>
          <w:bCs/>
          <w:color w:val="000000" w:themeColor="text1"/>
          <w:sz w:val="22"/>
          <w:szCs w:val="22"/>
        </w:rPr>
      </w:pPr>
    </w:p>
    <w:sectPr w:rsidR="00AB373A" w:rsidRPr="00F679B9" w:rsidSect="00937F89">
      <w:headerReference w:type="even" r:id="rId9"/>
      <w:headerReference w:type="default" r:id="rId10"/>
      <w:footerReference w:type="default" r:id="rId11"/>
      <w:headerReference w:type="first" r:id="rId12"/>
      <w:pgSz w:w="16838" w:h="11906" w:orient="landscape"/>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6FACC" w14:textId="77777777" w:rsidR="00A310FE" w:rsidRDefault="00A310FE" w:rsidP="00064C09">
      <w:r>
        <w:separator/>
      </w:r>
    </w:p>
  </w:endnote>
  <w:endnote w:type="continuationSeparator" w:id="0">
    <w:p w14:paraId="08455466" w14:textId="77777777" w:rsidR="00A310FE" w:rsidRDefault="00A310FE"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T Serif">
    <w:altName w:val="Times New Roman"/>
    <w:charset w:val="EE"/>
    <w:family w:val="roman"/>
    <w:pitch w:val="variable"/>
    <w:sig w:usb0="00000001" w:usb1="5000204B" w:usb2="00000000" w:usb3="00000000" w:csb0="00000097"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4640"/>
      <w:gridCol w:w="4642"/>
      <w:gridCol w:w="4642"/>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Na Pankráci 1618/30</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CD376" w14:textId="77777777" w:rsidR="00A310FE" w:rsidRDefault="00A310FE" w:rsidP="00064C09">
      <w:r>
        <w:separator/>
      </w:r>
    </w:p>
  </w:footnote>
  <w:footnote w:type="continuationSeparator" w:id="0">
    <w:p w14:paraId="0920E642" w14:textId="77777777" w:rsidR="00A310FE" w:rsidRDefault="00A310FE" w:rsidP="00064C0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CEDB7" w14:textId="30663E90" w:rsidR="00231539" w:rsidRDefault="00A310FE">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59.55pt;height:79.9pt;rotation:315;z-index:-251651072;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3EB81" w14:textId="7BEAFCC3"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p>
  <w:p w14:paraId="2EBEB8A3" w14:textId="77777777" w:rsidR="00380334" w:rsidRDefault="00380334" w:rsidP="005C2A77">
    <w:pPr>
      <w:pStyle w:val="Zhlav"/>
      <w:jc w:val="right"/>
    </w:pP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506EE" w14:textId="72E7C67E" w:rsidR="00231539" w:rsidRDefault="00A310FE">
    <w:pPr>
      <w:pStyle w:val="Zhlav"/>
    </w:pPr>
    <w:r>
      <w:rPr>
        <w:noProof/>
      </w:rPr>
      <w:pict w14:anchorId="40B6BA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59.55pt;height:79.9pt;rotation:315;z-index:-251655168;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6872"/>
    <w:multiLevelType w:val="hybridMultilevel"/>
    <w:tmpl w:val="26223C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1" w15:restartNumberingAfterBreak="0">
    <w:nsid w:val="02872668"/>
    <w:multiLevelType w:val="hybridMultilevel"/>
    <w:tmpl w:val="C15207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5850C8"/>
    <w:multiLevelType w:val="hybridMultilevel"/>
    <w:tmpl w:val="8928527C"/>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3" w15:restartNumberingAfterBreak="0">
    <w:nsid w:val="0C635587"/>
    <w:multiLevelType w:val="hybridMultilevel"/>
    <w:tmpl w:val="F914060E"/>
    <w:lvl w:ilvl="0" w:tplc="CD3AB578">
      <w:start w:val="1"/>
      <w:numFmt w:val="bullet"/>
      <w:lvlText w:val=""/>
      <w:lvlJc w:val="left"/>
      <w:pPr>
        <w:ind w:left="720" w:hanging="360"/>
      </w:pPr>
      <w:rPr>
        <w:rFonts w:ascii="Symbol" w:hAnsi="Symbol" w:hint="default"/>
      </w:rPr>
    </w:lvl>
    <w:lvl w:ilvl="1" w:tplc="CD3AB578">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AF0165"/>
    <w:multiLevelType w:val="hybridMultilevel"/>
    <w:tmpl w:val="098A4E38"/>
    <w:lvl w:ilvl="0" w:tplc="E00CDAB8">
      <w:start w:val="1"/>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C510D5D"/>
    <w:multiLevelType w:val="hybridMultilevel"/>
    <w:tmpl w:val="166CADC4"/>
    <w:lvl w:ilvl="0" w:tplc="855813C0">
      <w:start w:val="2"/>
      <w:numFmt w:val="bullet"/>
      <w:lvlText w:val="-"/>
      <w:lvlJc w:val="left"/>
      <w:pPr>
        <w:ind w:left="720" w:hanging="360"/>
      </w:pPr>
      <w:rPr>
        <w:rFonts w:ascii="PT Serif" w:eastAsiaTheme="minorHAnsi" w:hAnsi="PT Serif"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E857999"/>
    <w:multiLevelType w:val="hybridMultilevel"/>
    <w:tmpl w:val="F328EBB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FB77236"/>
    <w:multiLevelType w:val="hybridMultilevel"/>
    <w:tmpl w:val="FCC26A3A"/>
    <w:lvl w:ilvl="0" w:tplc="1078352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2A5947A6"/>
    <w:multiLevelType w:val="hybridMultilevel"/>
    <w:tmpl w:val="4C3E7CE4"/>
    <w:lvl w:ilvl="0" w:tplc="4F722EA8">
      <w:start w:val="8"/>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C4E650F"/>
    <w:multiLevelType w:val="hybridMultilevel"/>
    <w:tmpl w:val="9C76F69E"/>
    <w:lvl w:ilvl="0" w:tplc="A9442A10">
      <w:start w:val="1"/>
      <w:numFmt w:val="bullet"/>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FF55E3"/>
    <w:multiLevelType w:val="hybridMultilevel"/>
    <w:tmpl w:val="75E8DB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D1583F"/>
    <w:multiLevelType w:val="hybridMultilevel"/>
    <w:tmpl w:val="FCE8073E"/>
    <w:lvl w:ilvl="0" w:tplc="A768EE5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880D83"/>
    <w:multiLevelType w:val="hybridMultilevel"/>
    <w:tmpl w:val="87BA63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372F3D"/>
    <w:multiLevelType w:val="hybridMultilevel"/>
    <w:tmpl w:val="E33885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0B346F2"/>
    <w:multiLevelType w:val="hybridMultilevel"/>
    <w:tmpl w:val="CFA217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41231F07"/>
    <w:multiLevelType w:val="hybridMultilevel"/>
    <w:tmpl w:val="1A5815FA"/>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3E73DCC"/>
    <w:multiLevelType w:val="hybridMultilevel"/>
    <w:tmpl w:val="6978A612"/>
    <w:lvl w:ilvl="0" w:tplc="7DBE666A">
      <w:start w:val="11"/>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8" w15:restartNumberingAfterBreak="0">
    <w:nsid w:val="458963BE"/>
    <w:multiLevelType w:val="hybridMultilevel"/>
    <w:tmpl w:val="64D6EC80"/>
    <w:lvl w:ilvl="0" w:tplc="EF2E3E7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496C74D1"/>
    <w:multiLevelType w:val="hybridMultilevel"/>
    <w:tmpl w:val="123CEEB2"/>
    <w:lvl w:ilvl="0" w:tplc="D9A4269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F146779"/>
    <w:multiLevelType w:val="hybridMultilevel"/>
    <w:tmpl w:val="CE36A91C"/>
    <w:lvl w:ilvl="0" w:tplc="2FD66C6C">
      <w:start w:val="1"/>
      <w:numFmt w:val="lowerLetter"/>
      <w:lvlText w:val="%1)"/>
      <w:lvlJc w:val="left"/>
      <w:pPr>
        <w:ind w:left="720" w:hanging="360"/>
      </w:pPr>
      <w:rPr>
        <w:rFonts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72E5286"/>
    <w:multiLevelType w:val="hybridMultilevel"/>
    <w:tmpl w:val="53D6942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FC3502"/>
    <w:multiLevelType w:val="hybridMultilevel"/>
    <w:tmpl w:val="D4B22F88"/>
    <w:lvl w:ilvl="0" w:tplc="F1607F80">
      <w:start w:val="125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4447CD"/>
    <w:multiLevelType w:val="hybridMultilevel"/>
    <w:tmpl w:val="A2562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C061E82"/>
    <w:multiLevelType w:val="multilevel"/>
    <w:tmpl w:val="D0D40DDE"/>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26" w15:restartNumberingAfterBreak="0">
    <w:nsid w:val="606C6A4A"/>
    <w:multiLevelType w:val="hybridMultilevel"/>
    <w:tmpl w:val="BB542918"/>
    <w:lvl w:ilvl="0" w:tplc="2C2E5DE6">
      <w:start w:val="18"/>
      <w:numFmt w:val="lowerLetter"/>
      <w:lvlText w:val="%1)"/>
      <w:lvlJc w:val="left"/>
      <w:pPr>
        <w:ind w:left="705"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65A11CCA"/>
    <w:multiLevelType w:val="hybridMultilevel"/>
    <w:tmpl w:val="6D84CF3E"/>
    <w:lvl w:ilvl="0" w:tplc="2A8EE562">
      <w:start w:val="6"/>
      <w:numFmt w:val="lowerLetter"/>
      <w:lvlText w:val="%1)"/>
      <w:lvlJc w:val="left"/>
      <w:pPr>
        <w:ind w:left="720" w:hanging="360"/>
      </w:pPr>
      <w:rPr>
        <w:rFonts w:eastAsia="Calibri"/>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8" w15:restartNumberingAfterBreak="0">
    <w:nsid w:val="674B0143"/>
    <w:multiLevelType w:val="hybridMultilevel"/>
    <w:tmpl w:val="390039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82357DD"/>
    <w:multiLevelType w:val="hybridMultilevel"/>
    <w:tmpl w:val="B7408E04"/>
    <w:lvl w:ilvl="0" w:tplc="23BE8144">
      <w:start w:val="1"/>
      <w:numFmt w:val="lowerLetter"/>
      <w:lvlText w:val="%1)"/>
      <w:lvlJc w:val="left"/>
      <w:pPr>
        <w:ind w:left="705" w:hanging="360"/>
      </w:pPr>
    </w:lvl>
    <w:lvl w:ilvl="1" w:tplc="04050019">
      <w:start w:val="1"/>
      <w:numFmt w:val="lowerLetter"/>
      <w:lvlText w:val="%2."/>
      <w:lvlJc w:val="left"/>
      <w:pPr>
        <w:ind w:left="1425" w:hanging="360"/>
      </w:pPr>
    </w:lvl>
    <w:lvl w:ilvl="2" w:tplc="0405001B">
      <w:start w:val="1"/>
      <w:numFmt w:val="lowerRoman"/>
      <w:lvlText w:val="%3."/>
      <w:lvlJc w:val="right"/>
      <w:pPr>
        <w:ind w:left="2145" w:hanging="180"/>
      </w:pPr>
    </w:lvl>
    <w:lvl w:ilvl="3" w:tplc="0405000F">
      <w:start w:val="1"/>
      <w:numFmt w:val="decimal"/>
      <w:lvlText w:val="%4."/>
      <w:lvlJc w:val="left"/>
      <w:pPr>
        <w:ind w:left="2865" w:hanging="360"/>
      </w:pPr>
    </w:lvl>
    <w:lvl w:ilvl="4" w:tplc="04050019">
      <w:start w:val="1"/>
      <w:numFmt w:val="lowerLetter"/>
      <w:lvlText w:val="%5."/>
      <w:lvlJc w:val="left"/>
      <w:pPr>
        <w:ind w:left="3585" w:hanging="360"/>
      </w:pPr>
    </w:lvl>
    <w:lvl w:ilvl="5" w:tplc="0405001B">
      <w:start w:val="1"/>
      <w:numFmt w:val="lowerRoman"/>
      <w:lvlText w:val="%6."/>
      <w:lvlJc w:val="right"/>
      <w:pPr>
        <w:ind w:left="4305" w:hanging="180"/>
      </w:pPr>
    </w:lvl>
    <w:lvl w:ilvl="6" w:tplc="0405000F">
      <w:start w:val="1"/>
      <w:numFmt w:val="decimal"/>
      <w:lvlText w:val="%7."/>
      <w:lvlJc w:val="left"/>
      <w:pPr>
        <w:ind w:left="5025" w:hanging="360"/>
      </w:pPr>
    </w:lvl>
    <w:lvl w:ilvl="7" w:tplc="04050019">
      <w:start w:val="1"/>
      <w:numFmt w:val="lowerLetter"/>
      <w:lvlText w:val="%8."/>
      <w:lvlJc w:val="left"/>
      <w:pPr>
        <w:ind w:left="5745" w:hanging="360"/>
      </w:pPr>
    </w:lvl>
    <w:lvl w:ilvl="8" w:tplc="0405001B">
      <w:start w:val="1"/>
      <w:numFmt w:val="lowerRoman"/>
      <w:lvlText w:val="%9."/>
      <w:lvlJc w:val="right"/>
      <w:pPr>
        <w:ind w:left="6465" w:hanging="180"/>
      </w:pPr>
    </w:lvl>
  </w:abstractNum>
  <w:abstractNum w:abstractNumId="30" w15:restartNumberingAfterBreak="0">
    <w:nsid w:val="68AB3370"/>
    <w:multiLevelType w:val="hybridMultilevel"/>
    <w:tmpl w:val="230E3D62"/>
    <w:lvl w:ilvl="0" w:tplc="0405000F">
      <w:start w:val="1"/>
      <w:numFmt w:val="decimal"/>
      <w:lvlText w:val="%1."/>
      <w:lvlJc w:val="left"/>
      <w:pPr>
        <w:tabs>
          <w:tab w:val="num" w:pos="780"/>
        </w:tabs>
        <w:ind w:left="780" w:hanging="360"/>
      </w:p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1"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2" w15:restartNumberingAfterBreak="0">
    <w:nsid w:val="6B2772CA"/>
    <w:multiLevelType w:val="hybridMultilevel"/>
    <w:tmpl w:val="528EAA62"/>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3" w15:restartNumberingAfterBreak="0">
    <w:nsid w:val="6B6D08ED"/>
    <w:multiLevelType w:val="hybridMultilevel"/>
    <w:tmpl w:val="9F8AF6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FE55B4A"/>
    <w:multiLevelType w:val="hybridMultilevel"/>
    <w:tmpl w:val="75CEE3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25"/>
  </w:num>
  <w:num w:numId="3">
    <w:abstractNumId w:val="3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0"/>
  </w:num>
  <w:num w:numId="7">
    <w:abstractNumId w:val="13"/>
  </w:num>
  <w:num w:numId="8">
    <w:abstractNumId w:val="33"/>
  </w:num>
  <w:num w:numId="9">
    <w:abstractNumId w:val="6"/>
  </w:num>
  <w:num w:numId="10">
    <w:abstractNumId w:val="24"/>
  </w:num>
  <w:num w:numId="11">
    <w:abstractNumId w:val="12"/>
  </w:num>
  <w:num w:numId="12">
    <w:abstractNumId w:val="8"/>
  </w:num>
  <w:num w:numId="13">
    <w:abstractNumId w:val="5"/>
  </w:num>
  <w:num w:numId="14">
    <w:abstractNumId w:val="23"/>
  </w:num>
  <w:num w:numId="15">
    <w:abstractNumId w:val="34"/>
  </w:num>
  <w:num w:numId="16">
    <w:abstractNumId w:val="11"/>
  </w:num>
  <w:num w:numId="17">
    <w:abstractNumId w:val="15"/>
  </w:num>
  <w:num w:numId="18">
    <w:abstractNumId w:val="21"/>
  </w:num>
  <w:num w:numId="19">
    <w:abstractNumId w:val="32"/>
  </w:num>
  <w:num w:numId="20">
    <w:abstractNumId w:val="7"/>
  </w:num>
  <w:num w:numId="21">
    <w:abstractNumId w:val="28"/>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30"/>
  </w:num>
  <w:num w:numId="29">
    <w:abstractNumId w:val="14"/>
  </w:num>
  <w:num w:numId="30">
    <w:abstractNumId w:val="16"/>
  </w:num>
  <w:num w:numId="31">
    <w:abstractNumId w:val="3"/>
  </w:num>
  <w:num w:numId="32">
    <w:abstractNumId w:val="10"/>
  </w:num>
  <w:num w:numId="33">
    <w:abstractNumId w:val="18"/>
  </w:num>
  <w:num w:numId="34">
    <w:abstractNumId w:val="22"/>
  </w:num>
  <w:num w:numId="35">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9BA"/>
    <w:rsid w:val="00007579"/>
    <w:rsid w:val="00030C7C"/>
    <w:rsid w:val="000317FE"/>
    <w:rsid w:val="000340E5"/>
    <w:rsid w:val="00052977"/>
    <w:rsid w:val="000535E1"/>
    <w:rsid w:val="00057272"/>
    <w:rsid w:val="00064C09"/>
    <w:rsid w:val="00073962"/>
    <w:rsid w:val="00075029"/>
    <w:rsid w:val="00080822"/>
    <w:rsid w:val="00081611"/>
    <w:rsid w:val="00081709"/>
    <w:rsid w:val="00085B1F"/>
    <w:rsid w:val="00090D90"/>
    <w:rsid w:val="00093228"/>
    <w:rsid w:val="000A2191"/>
    <w:rsid w:val="000A4912"/>
    <w:rsid w:val="000C2FC7"/>
    <w:rsid w:val="000C5141"/>
    <w:rsid w:val="000C7F09"/>
    <w:rsid w:val="000D01C2"/>
    <w:rsid w:val="000D0CCA"/>
    <w:rsid w:val="000D1375"/>
    <w:rsid w:val="000D1E48"/>
    <w:rsid w:val="000D65E8"/>
    <w:rsid w:val="000E1DF8"/>
    <w:rsid w:val="000F7398"/>
    <w:rsid w:val="000F7A38"/>
    <w:rsid w:val="0011231F"/>
    <w:rsid w:val="001126F4"/>
    <w:rsid w:val="00113B47"/>
    <w:rsid w:val="00120B9B"/>
    <w:rsid w:val="00120FF8"/>
    <w:rsid w:val="0012526D"/>
    <w:rsid w:val="001271B5"/>
    <w:rsid w:val="00140DE7"/>
    <w:rsid w:val="0015157C"/>
    <w:rsid w:val="00153AB3"/>
    <w:rsid w:val="00155582"/>
    <w:rsid w:val="00155D11"/>
    <w:rsid w:val="001730D2"/>
    <w:rsid w:val="001762BA"/>
    <w:rsid w:val="001776D9"/>
    <w:rsid w:val="00190050"/>
    <w:rsid w:val="0019493E"/>
    <w:rsid w:val="001A28BA"/>
    <w:rsid w:val="001A2943"/>
    <w:rsid w:val="001A4E7F"/>
    <w:rsid w:val="001B2658"/>
    <w:rsid w:val="001B6B44"/>
    <w:rsid w:val="001C1CFE"/>
    <w:rsid w:val="001C3123"/>
    <w:rsid w:val="001D0100"/>
    <w:rsid w:val="001D12DB"/>
    <w:rsid w:val="001D1D49"/>
    <w:rsid w:val="001D3F71"/>
    <w:rsid w:val="001E1334"/>
    <w:rsid w:val="001E7BFD"/>
    <w:rsid w:val="001F1417"/>
    <w:rsid w:val="001F3A44"/>
    <w:rsid w:val="001F3F71"/>
    <w:rsid w:val="001F623E"/>
    <w:rsid w:val="00201BD9"/>
    <w:rsid w:val="00206637"/>
    <w:rsid w:val="00207B63"/>
    <w:rsid w:val="0021536D"/>
    <w:rsid w:val="002159BA"/>
    <w:rsid w:val="00216A4D"/>
    <w:rsid w:val="002204BD"/>
    <w:rsid w:val="002233C6"/>
    <w:rsid w:val="0022416C"/>
    <w:rsid w:val="002274E9"/>
    <w:rsid w:val="00227C2F"/>
    <w:rsid w:val="00231539"/>
    <w:rsid w:val="00231CD5"/>
    <w:rsid w:val="00233B19"/>
    <w:rsid w:val="002343D7"/>
    <w:rsid w:val="002557AE"/>
    <w:rsid w:val="00271E1A"/>
    <w:rsid w:val="00272B66"/>
    <w:rsid w:val="00276865"/>
    <w:rsid w:val="00281EC5"/>
    <w:rsid w:val="00285255"/>
    <w:rsid w:val="00291AAA"/>
    <w:rsid w:val="00297CBE"/>
    <w:rsid w:val="002A2040"/>
    <w:rsid w:val="002A3655"/>
    <w:rsid w:val="002A61D9"/>
    <w:rsid w:val="002B2BD3"/>
    <w:rsid w:val="002B301A"/>
    <w:rsid w:val="002B7B50"/>
    <w:rsid w:val="002C4F5B"/>
    <w:rsid w:val="002D03AD"/>
    <w:rsid w:val="002D5688"/>
    <w:rsid w:val="002E0AF4"/>
    <w:rsid w:val="002E7A97"/>
    <w:rsid w:val="002E7F35"/>
    <w:rsid w:val="002F56DC"/>
    <w:rsid w:val="003079F4"/>
    <w:rsid w:val="003110CD"/>
    <w:rsid w:val="00325100"/>
    <w:rsid w:val="00325F22"/>
    <w:rsid w:val="0034382A"/>
    <w:rsid w:val="00343C10"/>
    <w:rsid w:val="00345613"/>
    <w:rsid w:val="00354D32"/>
    <w:rsid w:val="00357F17"/>
    <w:rsid w:val="003618A3"/>
    <w:rsid w:val="00362EA9"/>
    <w:rsid w:val="00362FA0"/>
    <w:rsid w:val="003646F6"/>
    <w:rsid w:val="00365932"/>
    <w:rsid w:val="00371AC2"/>
    <w:rsid w:val="00380334"/>
    <w:rsid w:val="003822B9"/>
    <w:rsid w:val="00397F06"/>
    <w:rsid w:val="003A0AA9"/>
    <w:rsid w:val="003A272D"/>
    <w:rsid w:val="003A57A8"/>
    <w:rsid w:val="003A5942"/>
    <w:rsid w:val="003A7943"/>
    <w:rsid w:val="003B064B"/>
    <w:rsid w:val="003B0DA9"/>
    <w:rsid w:val="003B541F"/>
    <w:rsid w:val="003D0905"/>
    <w:rsid w:val="003F0FD8"/>
    <w:rsid w:val="003F4283"/>
    <w:rsid w:val="00400FEA"/>
    <w:rsid w:val="00410C32"/>
    <w:rsid w:val="00413C81"/>
    <w:rsid w:val="00434B45"/>
    <w:rsid w:val="004359E5"/>
    <w:rsid w:val="00452319"/>
    <w:rsid w:val="004716F1"/>
    <w:rsid w:val="00474423"/>
    <w:rsid w:val="004A608E"/>
    <w:rsid w:val="004B6550"/>
    <w:rsid w:val="004D462D"/>
    <w:rsid w:val="004F3E23"/>
    <w:rsid w:val="00501230"/>
    <w:rsid w:val="00502AB5"/>
    <w:rsid w:val="00503396"/>
    <w:rsid w:val="00503A66"/>
    <w:rsid w:val="00513987"/>
    <w:rsid w:val="00517EC2"/>
    <w:rsid w:val="00530501"/>
    <w:rsid w:val="00542FFA"/>
    <w:rsid w:val="00561471"/>
    <w:rsid w:val="0056658F"/>
    <w:rsid w:val="00581A47"/>
    <w:rsid w:val="00591234"/>
    <w:rsid w:val="0059340D"/>
    <w:rsid w:val="005A0780"/>
    <w:rsid w:val="005A4F6B"/>
    <w:rsid w:val="005A6437"/>
    <w:rsid w:val="005B321C"/>
    <w:rsid w:val="005B353B"/>
    <w:rsid w:val="005B379A"/>
    <w:rsid w:val="005B6BBF"/>
    <w:rsid w:val="005C2A77"/>
    <w:rsid w:val="005C2F98"/>
    <w:rsid w:val="005E74ED"/>
    <w:rsid w:val="005F4CF5"/>
    <w:rsid w:val="006009BB"/>
    <w:rsid w:val="00604270"/>
    <w:rsid w:val="006171EC"/>
    <w:rsid w:val="00624899"/>
    <w:rsid w:val="00627D2E"/>
    <w:rsid w:val="006334E9"/>
    <w:rsid w:val="0067518B"/>
    <w:rsid w:val="0068008E"/>
    <w:rsid w:val="00686101"/>
    <w:rsid w:val="00686C89"/>
    <w:rsid w:val="00692850"/>
    <w:rsid w:val="00692F44"/>
    <w:rsid w:val="006A778A"/>
    <w:rsid w:val="006D09CF"/>
    <w:rsid w:val="006D4A0C"/>
    <w:rsid w:val="006E1B59"/>
    <w:rsid w:val="006E71E4"/>
    <w:rsid w:val="006F09E9"/>
    <w:rsid w:val="006F4FBD"/>
    <w:rsid w:val="00712DDA"/>
    <w:rsid w:val="00721067"/>
    <w:rsid w:val="00726DC2"/>
    <w:rsid w:val="007401CD"/>
    <w:rsid w:val="00743CFA"/>
    <w:rsid w:val="00750FA2"/>
    <w:rsid w:val="00753548"/>
    <w:rsid w:val="00754A17"/>
    <w:rsid w:val="0077684A"/>
    <w:rsid w:val="007778A3"/>
    <w:rsid w:val="00786288"/>
    <w:rsid w:val="007A03E7"/>
    <w:rsid w:val="007B24A1"/>
    <w:rsid w:val="007B33CC"/>
    <w:rsid w:val="007B422B"/>
    <w:rsid w:val="007B778B"/>
    <w:rsid w:val="007C70F9"/>
    <w:rsid w:val="007D3BFB"/>
    <w:rsid w:val="007E290A"/>
    <w:rsid w:val="007E2C2F"/>
    <w:rsid w:val="007E7A4A"/>
    <w:rsid w:val="007F3F30"/>
    <w:rsid w:val="00804258"/>
    <w:rsid w:val="008079E0"/>
    <w:rsid w:val="00826CDE"/>
    <w:rsid w:val="00830438"/>
    <w:rsid w:val="00834A91"/>
    <w:rsid w:val="008354C1"/>
    <w:rsid w:val="00840259"/>
    <w:rsid w:val="00846C30"/>
    <w:rsid w:val="00851908"/>
    <w:rsid w:val="00852335"/>
    <w:rsid w:val="008608AA"/>
    <w:rsid w:val="00867FB3"/>
    <w:rsid w:val="00890A2E"/>
    <w:rsid w:val="00893CDE"/>
    <w:rsid w:val="00896FB5"/>
    <w:rsid w:val="0089736C"/>
    <w:rsid w:val="008A46AE"/>
    <w:rsid w:val="008C70B5"/>
    <w:rsid w:val="008D672F"/>
    <w:rsid w:val="008D7461"/>
    <w:rsid w:val="008E404F"/>
    <w:rsid w:val="008F2119"/>
    <w:rsid w:val="008F32AB"/>
    <w:rsid w:val="008F76C3"/>
    <w:rsid w:val="00901FB4"/>
    <w:rsid w:val="00903536"/>
    <w:rsid w:val="0090705F"/>
    <w:rsid w:val="0092585F"/>
    <w:rsid w:val="009316E9"/>
    <w:rsid w:val="00937F89"/>
    <w:rsid w:val="00941350"/>
    <w:rsid w:val="0095097C"/>
    <w:rsid w:val="0095427E"/>
    <w:rsid w:val="009608AF"/>
    <w:rsid w:val="00972451"/>
    <w:rsid w:val="00982263"/>
    <w:rsid w:val="00983B01"/>
    <w:rsid w:val="009D33F5"/>
    <w:rsid w:val="009D43A5"/>
    <w:rsid w:val="009D7795"/>
    <w:rsid w:val="009E72F4"/>
    <w:rsid w:val="009E7DBC"/>
    <w:rsid w:val="009F3BC7"/>
    <w:rsid w:val="009F4289"/>
    <w:rsid w:val="00A03630"/>
    <w:rsid w:val="00A11B86"/>
    <w:rsid w:val="00A17CC2"/>
    <w:rsid w:val="00A211C8"/>
    <w:rsid w:val="00A241C2"/>
    <w:rsid w:val="00A25BD7"/>
    <w:rsid w:val="00A2687A"/>
    <w:rsid w:val="00A310FE"/>
    <w:rsid w:val="00A31EB5"/>
    <w:rsid w:val="00A35BA3"/>
    <w:rsid w:val="00A40804"/>
    <w:rsid w:val="00A52DEE"/>
    <w:rsid w:val="00A54B1C"/>
    <w:rsid w:val="00A65DAD"/>
    <w:rsid w:val="00A705CF"/>
    <w:rsid w:val="00A7261A"/>
    <w:rsid w:val="00A75674"/>
    <w:rsid w:val="00A83299"/>
    <w:rsid w:val="00A83CA9"/>
    <w:rsid w:val="00A845E8"/>
    <w:rsid w:val="00A85779"/>
    <w:rsid w:val="00A942E1"/>
    <w:rsid w:val="00A96C8F"/>
    <w:rsid w:val="00AA0C84"/>
    <w:rsid w:val="00AB117E"/>
    <w:rsid w:val="00AB373A"/>
    <w:rsid w:val="00AB3EB1"/>
    <w:rsid w:val="00AD6125"/>
    <w:rsid w:val="00AE4752"/>
    <w:rsid w:val="00AE7AA6"/>
    <w:rsid w:val="00AF0D63"/>
    <w:rsid w:val="00AF1B18"/>
    <w:rsid w:val="00AF7B4A"/>
    <w:rsid w:val="00B0143B"/>
    <w:rsid w:val="00B12E9D"/>
    <w:rsid w:val="00B13B04"/>
    <w:rsid w:val="00B258F9"/>
    <w:rsid w:val="00B35888"/>
    <w:rsid w:val="00B35DC4"/>
    <w:rsid w:val="00B36942"/>
    <w:rsid w:val="00B467AF"/>
    <w:rsid w:val="00B46FE1"/>
    <w:rsid w:val="00B510B2"/>
    <w:rsid w:val="00B57F6C"/>
    <w:rsid w:val="00B60D8E"/>
    <w:rsid w:val="00B61E85"/>
    <w:rsid w:val="00B73D4F"/>
    <w:rsid w:val="00B81B40"/>
    <w:rsid w:val="00B87F80"/>
    <w:rsid w:val="00BB2D5C"/>
    <w:rsid w:val="00BD468A"/>
    <w:rsid w:val="00BE168F"/>
    <w:rsid w:val="00BE733E"/>
    <w:rsid w:val="00BF485B"/>
    <w:rsid w:val="00C00BF0"/>
    <w:rsid w:val="00C055E9"/>
    <w:rsid w:val="00C057D3"/>
    <w:rsid w:val="00C146C9"/>
    <w:rsid w:val="00C15E8A"/>
    <w:rsid w:val="00C16E04"/>
    <w:rsid w:val="00C24254"/>
    <w:rsid w:val="00C34A46"/>
    <w:rsid w:val="00C41A4B"/>
    <w:rsid w:val="00C572D3"/>
    <w:rsid w:val="00C60354"/>
    <w:rsid w:val="00C606B6"/>
    <w:rsid w:val="00C63321"/>
    <w:rsid w:val="00C71413"/>
    <w:rsid w:val="00C74282"/>
    <w:rsid w:val="00C74BE8"/>
    <w:rsid w:val="00C761A3"/>
    <w:rsid w:val="00C81E13"/>
    <w:rsid w:val="00C874A6"/>
    <w:rsid w:val="00C9200C"/>
    <w:rsid w:val="00C94915"/>
    <w:rsid w:val="00C94F49"/>
    <w:rsid w:val="00CA273E"/>
    <w:rsid w:val="00CA3CEE"/>
    <w:rsid w:val="00CB0180"/>
    <w:rsid w:val="00CB7082"/>
    <w:rsid w:val="00CB7D03"/>
    <w:rsid w:val="00CD07A9"/>
    <w:rsid w:val="00CD39C3"/>
    <w:rsid w:val="00CD7E0E"/>
    <w:rsid w:val="00CF393C"/>
    <w:rsid w:val="00D0377B"/>
    <w:rsid w:val="00D05FD9"/>
    <w:rsid w:val="00D06051"/>
    <w:rsid w:val="00D10923"/>
    <w:rsid w:val="00D13518"/>
    <w:rsid w:val="00D23FC0"/>
    <w:rsid w:val="00D24F0C"/>
    <w:rsid w:val="00D3218D"/>
    <w:rsid w:val="00D375A7"/>
    <w:rsid w:val="00D42688"/>
    <w:rsid w:val="00D5434C"/>
    <w:rsid w:val="00D5451D"/>
    <w:rsid w:val="00D6036E"/>
    <w:rsid w:val="00D67D52"/>
    <w:rsid w:val="00D77ECD"/>
    <w:rsid w:val="00D81A9A"/>
    <w:rsid w:val="00D85C8D"/>
    <w:rsid w:val="00D85DD7"/>
    <w:rsid w:val="00D8625B"/>
    <w:rsid w:val="00D94A82"/>
    <w:rsid w:val="00D96339"/>
    <w:rsid w:val="00DA024E"/>
    <w:rsid w:val="00DA1E79"/>
    <w:rsid w:val="00DB0FB7"/>
    <w:rsid w:val="00DB55EF"/>
    <w:rsid w:val="00DC55AD"/>
    <w:rsid w:val="00DD4041"/>
    <w:rsid w:val="00DD6D02"/>
    <w:rsid w:val="00DE0202"/>
    <w:rsid w:val="00DE0B9C"/>
    <w:rsid w:val="00DE7F64"/>
    <w:rsid w:val="00DF37D9"/>
    <w:rsid w:val="00E00DFA"/>
    <w:rsid w:val="00E153AB"/>
    <w:rsid w:val="00E1643A"/>
    <w:rsid w:val="00E1781E"/>
    <w:rsid w:val="00E207B8"/>
    <w:rsid w:val="00E24834"/>
    <w:rsid w:val="00E2678D"/>
    <w:rsid w:val="00E30299"/>
    <w:rsid w:val="00E302BB"/>
    <w:rsid w:val="00E34277"/>
    <w:rsid w:val="00E3448F"/>
    <w:rsid w:val="00E344D0"/>
    <w:rsid w:val="00E42F34"/>
    <w:rsid w:val="00E441DE"/>
    <w:rsid w:val="00E544FD"/>
    <w:rsid w:val="00E56957"/>
    <w:rsid w:val="00E61F92"/>
    <w:rsid w:val="00E662B7"/>
    <w:rsid w:val="00E80625"/>
    <w:rsid w:val="00E91B65"/>
    <w:rsid w:val="00E92243"/>
    <w:rsid w:val="00E9259F"/>
    <w:rsid w:val="00E967C6"/>
    <w:rsid w:val="00EA7336"/>
    <w:rsid w:val="00EA7FDF"/>
    <w:rsid w:val="00EB60E3"/>
    <w:rsid w:val="00EC6564"/>
    <w:rsid w:val="00ED33A0"/>
    <w:rsid w:val="00EE1BC7"/>
    <w:rsid w:val="00EE4EF0"/>
    <w:rsid w:val="00F01B45"/>
    <w:rsid w:val="00F0368E"/>
    <w:rsid w:val="00F04045"/>
    <w:rsid w:val="00F1091F"/>
    <w:rsid w:val="00F10D6F"/>
    <w:rsid w:val="00F13CED"/>
    <w:rsid w:val="00F1457C"/>
    <w:rsid w:val="00F20990"/>
    <w:rsid w:val="00F26245"/>
    <w:rsid w:val="00F26E83"/>
    <w:rsid w:val="00F31550"/>
    <w:rsid w:val="00F37575"/>
    <w:rsid w:val="00F4305B"/>
    <w:rsid w:val="00F43E7B"/>
    <w:rsid w:val="00F4452A"/>
    <w:rsid w:val="00F52891"/>
    <w:rsid w:val="00F679B9"/>
    <w:rsid w:val="00F71847"/>
    <w:rsid w:val="00F71D5B"/>
    <w:rsid w:val="00F83674"/>
    <w:rsid w:val="00F93A3F"/>
    <w:rsid w:val="00F94686"/>
    <w:rsid w:val="00F96B41"/>
    <w:rsid w:val="00F976CD"/>
    <w:rsid w:val="00FA23A0"/>
    <w:rsid w:val="00FA466D"/>
    <w:rsid w:val="00FC46CE"/>
    <w:rsid w:val="00FC6926"/>
    <w:rsid w:val="00FD0B77"/>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730D2"/>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5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UnresolvedMention">
    <w:name w:val="Unresolved Mention"/>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kub.machytka@uzs.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5D143E-E407-4F9C-BE70-A27F1E495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881</Words>
  <Characters>5204</Characters>
  <Application>Microsoft Office Word</Application>
  <DocSecurity>0</DocSecurity>
  <Lines>43</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Jakub Machytka</cp:lastModifiedBy>
  <cp:revision>10</cp:revision>
  <dcterms:created xsi:type="dcterms:W3CDTF">2021-04-16T11:23:00Z</dcterms:created>
  <dcterms:modified xsi:type="dcterms:W3CDTF">2022-08-09T13:27:00Z</dcterms:modified>
</cp:coreProperties>
</file>