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9A0E" w14:textId="1F91E7DA" w:rsidR="005C2A77" w:rsidRPr="00271E1A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271E1A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7C69D9">
        <w:rPr>
          <w:rFonts w:asciiTheme="minorHAnsi" w:hAnsiTheme="minorHAnsi" w:cstheme="minorHAnsi"/>
          <w:sz w:val="22"/>
          <w:szCs w:val="22"/>
        </w:rPr>
        <w:t>2</w:t>
      </w:r>
      <w:r w:rsidR="00104AE7">
        <w:rPr>
          <w:rFonts w:asciiTheme="minorHAnsi" w:hAnsiTheme="minorHAnsi" w:cstheme="minorHAnsi"/>
          <w:sz w:val="22"/>
          <w:szCs w:val="22"/>
        </w:rPr>
        <w:t>6</w:t>
      </w:r>
      <w:r w:rsidR="00A32916">
        <w:rPr>
          <w:rFonts w:asciiTheme="minorHAnsi" w:hAnsiTheme="minorHAnsi" w:cstheme="minorHAnsi"/>
          <w:sz w:val="22"/>
          <w:szCs w:val="22"/>
        </w:rPr>
        <w:t xml:space="preserve">. </w:t>
      </w:r>
      <w:r w:rsidR="0038120A">
        <w:rPr>
          <w:rFonts w:asciiTheme="minorHAnsi" w:hAnsiTheme="minorHAnsi" w:cstheme="minorHAnsi"/>
          <w:sz w:val="22"/>
          <w:szCs w:val="22"/>
        </w:rPr>
        <w:t>10</w:t>
      </w:r>
      <w:r w:rsidR="002F56DC" w:rsidRPr="00271E1A">
        <w:rPr>
          <w:rFonts w:asciiTheme="minorHAnsi" w:hAnsiTheme="minorHAnsi" w:cstheme="minorHAnsi"/>
          <w:sz w:val="22"/>
          <w:szCs w:val="22"/>
        </w:rPr>
        <w:t>. 20</w:t>
      </w:r>
      <w:r w:rsidR="00DE0B9C" w:rsidRPr="00271E1A">
        <w:rPr>
          <w:rFonts w:asciiTheme="minorHAnsi" w:hAnsiTheme="minorHAnsi" w:cstheme="minorHAnsi"/>
          <w:sz w:val="22"/>
          <w:szCs w:val="22"/>
        </w:rPr>
        <w:t>2</w:t>
      </w:r>
      <w:r w:rsidR="000340E5">
        <w:rPr>
          <w:rFonts w:asciiTheme="minorHAnsi" w:hAnsiTheme="minorHAnsi" w:cstheme="minorHAnsi"/>
          <w:sz w:val="22"/>
          <w:szCs w:val="22"/>
        </w:rPr>
        <w:t>2</w:t>
      </w:r>
    </w:p>
    <w:p w14:paraId="0DA1C77B" w14:textId="77777777" w:rsidR="005C2A77" w:rsidRPr="00271E1A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743CFA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743CFA">
        <w:rPr>
          <w:rFonts w:asciiTheme="minorHAnsi" w:hAnsiTheme="minorHAnsi" w:cstheme="minorHAnsi"/>
          <w:caps/>
          <w:szCs w:val="22"/>
        </w:rPr>
        <w:t>STANOVISKO</w:t>
      </w:r>
      <w:r w:rsidR="005C2A77" w:rsidRPr="00743CFA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271E1A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67ADC8D8" w:rsidR="00C16E04" w:rsidRDefault="00C41A4B" w:rsidP="003812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1E1A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9D33F5" w:rsidRPr="00271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0AF4" w:rsidRPr="00271E1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16E04" w:rsidRPr="00271E1A">
        <w:rPr>
          <w:rFonts w:asciiTheme="minorHAnsi" w:hAnsiTheme="minorHAnsi" w:cstheme="minorHAnsi"/>
          <w:b/>
          <w:bCs/>
          <w:sz w:val="22"/>
          <w:szCs w:val="22"/>
        </w:rPr>
        <w:t>ávrh</w:t>
      </w:r>
      <w:r w:rsidR="002E0AF4" w:rsidRPr="00271E1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16E04" w:rsidRPr="00271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4AE7">
        <w:rPr>
          <w:rFonts w:asciiTheme="minorHAnsi" w:hAnsiTheme="minorHAnsi" w:cstheme="minorHAnsi"/>
          <w:b/>
          <w:bCs/>
          <w:sz w:val="22"/>
          <w:szCs w:val="22"/>
        </w:rPr>
        <w:t>Koncepce zdravotnického výzkumu do roku 2030</w:t>
      </w:r>
    </w:p>
    <w:p w14:paraId="10FEE4F5" w14:textId="77777777" w:rsidR="00104AE7" w:rsidRPr="00271E1A" w:rsidRDefault="00104AE7" w:rsidP="003812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6215"/>
        <w:gridCol w:w="6396"/>
      </w:tblGrid>
      <w:tr w:rsidR="00104AE7" w:rsidRPr="00B77102" w14:paraId="6940B4FA" w14:textId="77777777" w:rsidTr="00104AE7">
        <w:trPr>
          <w:trHeight w:val="340"/>
        </w:trPr>
        <w:tc>
          <w:tcPr>
            <w:tcW w:w="1718" w:type="dxa"/>
            <w:shd w:val="clear" w:color="auto" w:fill="auto"/>
          </w:tcPr>
          <w:p w14:paraId="52B7CF71" w14:textId="77777777" w:rsidR="00104AE7" w:rsidRPr="00B77102" w:rsidRDefault="00104AE7" w:rsidP="00744BDC">
            <w:pPr>
              <w:rPr>
                <w:sz w:val="22"/>
                <w:szCs w:val="22"/>
              </w:rPr>
            </w:pPr>
            <w:r w:rsidRPr="00B77102">
              <w:rPr>
                <w:b/>
                <w:bCs/>
                <w:sz w:val="22"/>
                <w:szCs w:val="22"/>
              </w:rPr>
              <w:t>Resort</w:t>
            </w:r>
          </w:p>
        </w:tc>
        <w:tc>
          <w:tcPr>
            <w:tcW w:w="6215" w:type="dxa"/>
            <w:shd w:val="clear" w:color="auto" w:fill="auto"/>
          </w:tcPr>
          <w:p w14:paraId="709E02C8" w14:textId="77777777" w:rsidR="00104AE7" w:rsidRPr="00B77102" w:rsidRDefault="00104AE7" w:rsidP="00744BDC">
            <w:pPr>
              <w:rPr>
                <w:sz w:val="22"/>
                <w:szCs w:val="22"/>
              </w:rPr>
            </w:pPr>
            <w:r w:rsidRPr="00B77102">
              <w:rPr>
                <w:b/>
                <w:bCs/>
                <w:sz w:val="22"/>
                <w:szCs w:val="22"/>
              </w:rPr>
              <w:t>Připomínky</w:t>
            </w:r>
          </w:p>
        </w:tc>
        <w:tc>
          <w:tcPr>
            <w:tcW w:w="6396" w:type="dxa"/>
            <w:shd w:val="clear" w:color="auto" w:fill="auto"/>
          </w:tcPr>
          <w:p w14:paraId="78DD9F99" w14:textId="77777777" w:rsidR="00104AE7" w:rsidRPr="00B77102" w:rsidRDefault="00104AE7" w:rsidP="00744BDC">
            <w:pPr>
              <w:rPr>
                <w:sz w:val="22"/>
                <w:szCs w:val="22"/>
              </w:rPr>
            </w:pPr>
            <w:r w:rsidRPr="00B77102">
              <w:rPr>
                <w:b/>
                <w:bCs/>
                <w:sz w:val="22"/>
                <w:szCs w:val="22"/>
              </w:rPr>
              <w:t>Vypořádání</w:t>
            </w:r>
          </w:p>
        </w:tc>
      </w:tr>
      <w:tr w:rsidR="00104AE7" w:rsidRPr="00B77102" w14:paraId="7C10F77A" w14:textId="77777777" w:rsidTr="00104AE7">
        <w:trPr>
          <w:trHeight w:val="34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BD985" w14:textId="77777777" w:rsidR="00104AE7" w:rsidRDefault="00104AE7" w:rsidP="00744B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UZS ČR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C970" w14:textId="77777777" w:rsidR="00104AE7" w:rsidRPr="00F43A9F" w:rsidRDefault="00104AE7" w:rsidP="00744BDC">
            <w:pPr>
              <w:jc w:val="both"/>
              <w:rPr>
                <w:rFonts w:cstheme="minorHAnsi"/>
                <w:sz w:val="22"/>
              </w:rPr>
            </w:pPr>
            <w:r w:rsidRPr="00F43A9F">
              <w:rPr>
                <w:rFonts w:cstheme="minorHAnsi"/>
                <w:sz w:val="22"/>
              </w:rPr>
              <w:t xml:space="preserve">Jsme přesvědčeni, že </w:t>
            </w:r>
            <w:r w:rsidRPr="00F43A9F">
              <w:rPr>
                <w:rFonts w:cstheme="minorHAnsi"/>
                <w:b/>
                <w:sz w:val="22"/>
              </w:rPr>
              <w:t>oblastem psychických onemocnění a závislostí by měla být věnována větší pozornost</w:t>
            </w:r>
            <w:r w:rsidRPr="00F43A9F">
              <w:rPr>
                <w:rFonts w:cstheme="minorHAnsi"/>
                <w:sz w:val="22"/>
              </w:rPr>
              <w:t xml:space="preserve">. Se zvyšováním věku dožití i v souvislosti s dalšími faktory moderní civilizace stoupá výskyt duševních nemocí v ČR. Dle dat ÚZIS s v roce 2020 činila prevalence duševních onemocnění cca 1,4 miliony pacientů. V oblasti závislostí, která s psychickými problémy úzce souvisí, je situace ještě vážnější. Dle Souhrnné zprávy o závislostech v České republice za rok 2021 (Národní monitorovací středisko pro drogy a závislosti). Ve vysokém riziku spojeném se závislostí je 1,5 milionů kuřáků, 900 tis. konzumentů alkoholu, 1,4 milionů osob s problematickou spotřebou psychoaktivních léků, 200 tis. konzumentů konopných látek, 44 tisíc uživatelů </w:t>
            </w:r>
            <w:proofErr w:type="spellStart"/>
            <w:r w:rsidRPr="00F43A9F">
              <w:rPr>
                <w:rFonts w:cstheme="minorHAnsi"/>
                <w:sz w:val="22"/>
              </w:rPr>
              <w:t>opioidů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 a nelegální stimulancií (v tom 33 tisíc uživatelů pervitinu) a 120 tisíc osob ve vysokém riziku problémového hráčství. Mezi mladou populací narůstají problémy s digitálními závislostmi. Je jistě záslužné a užitečné, že bude v těchto oblastech prováděn sběr dat a mapování epidemiologie, velmi užitečné jsou také programy se zaměřením na </w:t>
            </w:r>
            <w:proofErr w:type="spellStart"/>
            <w:r w:rsidRPr="00F43A9F">
              <w:rPr>
                <w:rFonts w:cstheme="minorHAnsi"/>
                <w:sz w:val="22"/>
              </w:rPr>
              <w:t>destigmatizaci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 postižených jedinců a prevenci, zcela však chybí zastoupení těchto významných oblastí v kapitole Inovativní řešení pro medicínu. Domníváme se, že do oblasti Inovativních řešení pro medicínu by měly být zařazeny minimálně dvě oblasti. </w:t>
            </w:r>
          </w:p>
          <w:p w14:paraId="3730ACEC" w14:textId="77777777" w:rsidR="00104AE7" w:rsidRPr="00F43A9F" w:rsidRDefault="00104AE7" w:rsidP="00744BDC">
            <w:pPr>
              <w:jc w:val="both"/>
              <w:rPr>
                <w:rFonts w:cstheme="minorHAnsi"/>
                <w:sz w:val="22"/>
              </w:rPr>
            </w:pPr>
            <w:r w:rsidRPr="00F43A9F">
              <w:rPr>
                <w:rFonts w:cstheme="minorHAnsi"/>
                <w:sz w:val="22"/>
              </w:rPr>
              <w:t xml:space="preserve">První je </w:t>
            </w:r>
            <w:r w:rsidRPr="00F43A9F">
              <w:rPr>
                <w:rFonts w:cstheme="minorHAnsi"/>
                <w:b/>
                <w:sz w:val="22"/>
              </w:rPr>
              <w:t>využití látek s psychoaktivním účinkem</w:t>
            </w:r>
            <w:r w:rsidRPr="00F43A9F">
              <w:rPr>
                <w:rFonts w:cstheme="minorHAnsi"/>
                <w:sz w:val="22"/>
              </w:rPr>
              <w:t xml:space="preserve"> (LSD, </w:t>
            </w:r>
            <w:proofErr w:type="spellStart"/>
            <w:r w:rsidRPr="00F43A9F">
              <w:rPr>
                <w:rFonts w:cstheme="minorHAnsi"/>
                <w:sz w:val="22"/>
              </w:rPr>
              <w:t>Psylocibin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, </w:t>
            </w:r>
            <w:proofErr w:type="spellStart"/>
            <w:r w:rsidRPr="00F43A9F">
              <w:rPr>
                <w:rFonts w:cstheme="minorHAnsi"/>
                <w:sz w:val="22"/>
              </w:rPr>
              <w:t>Ketamin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, </w:t>
            </w:r>
            <w:proofErr w:type="spellStart"/>
            <w:r w:rsidRPr="00F43A9F">
              <w:rPr>
                <w:rFonts w:cstheme="minorHAnsi"/>
                <w:sz w:val="22"/>
              </w:rPr>
              <w:t>Ayahuasca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 apod.) </w:t>
            </w:r>
            <w:r w:rsidRPr="00F43A9F">
              <w:rPr>
                <w:rFonts w:cstheme="minorHAnsi"/>
                <w:b/>
                <w:sz w:val="22"/>
              </w:rPr>
              <w:t>k asistované psychoterapii</w:t>
            </w:r>
            <w:r w:rsidRPr="00F43A9F">
              <w:rPr>
                <w:rFonts w:cstheme="minorHAnsi"/>
                <w:sz w:val="22"/>
              </w:rPr>
              <w:t xml:space="preserve"> při léčbě některých duševních nemocí a k léčbě závislostí. Tyto programy jsou využívány zejména v USA a výzkum probíhá i v ČR. Výzkum </w:t>
            </w:r>
            <w:r w:rsidRPr="00F43A9F">
              <w:rPr>
                <w:rFonts w:cstheme="minorHAnsi"/>
                <w:sz w:val="22"/>
              </w:rPr>
              <w:lastRenderedPageBreak/>
              <w:t>provádí zejména Národní ústav duševního zdraví a některá další pracoviště. Vzhledem k nadějným výsledkům dosavadního výzkumu by bylo vhodné tuto oblast více podpořit.</w:t>
            </w:r>
          </w:p>
          <w:p w14:paraId="6166AE67" w14:textId="77777777" w:rsidR="00104AE7" w:rsidRPr="00F43A9F" w:rsidRDefault="00104AE7" w:rsidP="00744BDC">
            <w:pPr>
              <w:jc w:val="both"/>
              <w:rPr>
                <w:rFonts w:cstheme="minorHAnsi"/>
                <w:sz w:val="22"/>
              </w:rPr>
            </w:pPr>
            <w:r w:rsidRPr="00F43A9F">
              <w:rPr>
                <w:rFonts w:cstheme="minorHAnsi"/>
                <w:sz w:val="22"/>
              </w:rPr>
              <w:t xml:space="preserve">Druhou oblastí, která by měla být zkoumána, je možnost </w:t>
            </w:r>
            <w:r w:rsidRPr="00F43A9F">
              <w:rPr>
                <w:rFonts w:cstheme="minorHAnsi"/>
                <w:b/>
                <w:sz w:val="22"/>
              </w:rPr>
              <w:t>substituční terapie pro osoby závislé na metanfetaminu</w:t>
            </w:r>
            <w:r w:rsidRPr="00F43A9F">
              <w:rPr>
                <w:rFonts w:cstheme="minorHAnsi"/>
                <w:sz w:val="22"/>
              </w:rPr>
              <w:t xml:space="preserve">. Strategie EU pro oblast drog na období 2021–2025 obsahuje doporučení pro členské státy v oblasti snižování nabídky drog, která se týkají prevence a léčby drogových závislostí. Mezi priority patří i „léčba s farmakologickou podporou včetně na člověka zaměřené udržovací léčby pomocí </w:t>
            </w:r>
            <w:proofErr w:type="spellStart"/>
            <w:r w:rsidRPr="00F43A9F">
              <w:rPr>
                <w:rFonts w:cstheme="minorHAnsi"/>
                <w:sz w:val="22"/>
              </w:rPr>
              <w:t>opioidů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 a programům rehabilitace“. Jedná se tedy o substituční léčbu agonisty </w:t>
            </w:r>
            <w:proofErr w:type="spellStart"/>
            <w:r w:rsidRPr="00F43A9F">
              <w:rPr>
                <w:rFonts w:cstheme="minorHAnsi"/>
                <w:sz w:val="22"/>
              </w:rPr>
              <w:t>opioidních</w:t>
            </w:r>
            <w:proofErr w:type="spellEnd"/>
            <w:r w:rsidRPr="00F43A9F">
              <w:rPr>
                <w:rFonts w:cstheme="minorHAnsi"/>
                <w:sz w:val="22"/>
              </w:rPr>
              <w:t xml:space="preserve"> receptorů, která je praktikována i v ČR. Je zcela pochopitelné, že strategie EU je zaměřena zejména na opiátovou substituci, protože tyto přípravky jsou ve většině států EU dominantní a jejich zneužívání má často fatální následky. V České republice je však dominantní nelegální drogou pervitin. Zkušenosti s Velké Británie ukazují, že substituční léčba závislosti na amfetaminu nebo metamfetaminu může vykazovat značné úspěchy. V České republice bylo v roce 2020 vydáno doporučení SNN ČLS JEP pro </w:t>
            </w:r>
            <w:proofErr w:type="spellStart"/>
            <w:r w:rsidRPr="00F43A9F">
              <w:rPr>
                <w:rFonts w:cstheme="minorHAnsi"/>
                <w:sz w:val="22"/>
              </w:rPr>
              <w:t>off</w:t>
            </w:r>
            <w:proofErr w:type="spellEnd"/>
            <w:r w:rsidRPr="00F43A9F">
              <w:rPr>
                <w:rFonts w:cstheme="minorHAnsi"/>
                <w:sz w:val="22"/>
              </w:rPr>
              <w:t>-label použití centrálních stimulancií u závislých na metanfetaminu. Bylo by tedy vhodné, aby výzkum v této oblasti dále pokračoval.</w:t>
            </w:r>
          </w:p>
          <w:p w14:paraId="3B3D8900" w14:textId="77777777" w:rsidR="00104AE7" w:rsidRPr="00F43A9F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D87D6" w14:textId="77777777" w:rsidR="00104AE7" w:rsidRPr="005A5A03" w:rsidRDefault="00104AE7" w:rsidP="00744BD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04AE7" w:rsidRPr="00B77102" w14:paraId="2ABAE17E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0240" w14:textId="77777777" w:rsidR="00104AE7" w:rsidRPr="009056DD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1FB3" w14:textId="77777777" w:rsidR="00104AE7" w:rsidRPr="00EE780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E7807">
              <w:rPr>
                <w:b/>
                <w:sz w:val="22"/>
                <w:szCs w:val="22"/>
                <w:u w:val="single"/>
              </w:rPr>
              <w:t>Kapitola 7.3.2 Nízkomolekulární léčiva</w:t>
            </w:r>
          </w:p>
          <w:p w14:paraId="638EF6AF" w14:textId="77777777" w:rsidR="00104AE7" w:rsidRPr="00EE780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E7807">
              <w:rPr>
                <w:b/>
                <w:sz w:val="22"/>
                <w:szCs w:val="22"/>
                <w:u w:val="single"/>
              </w:rPr>
              <w:t>Zaměření</w:t>
            </w:r>
          </w:p>
          <w:p w14:paraId="7E9A7D8C" w14:textId="77777777" w:rsidR="00104AE7" w:rsidRPr="006E02D9" w:rsidRDefault="00104AE7" w:rsidP="0086139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2439D">
              <w:t>Experimentální výbava výzkumných a vývojových pracovišť není doprovázen</w:t>
            </w:r>
            <w:r>
              <w:t>a</w:t>
            </w:r>
            <w:r w:rsidRPr="0022439D">
              <w:t xml:space="preserve"> potřebnou expertízou odborníků, kteří by byli schopni převádět výsledky základního výzkumu (</w:t>
            </w:r>
            <w:proofErr w:type="spellStart"/>
            <w:r w:rsidRPr="0022439D">
              <w:t>drug</w:t>
            </w:r>
            <w:proofErr w:type="spellEnd"/>
            <w:r w:rsidRPr="0022439D">
              <w:t xml:space="preserve"> </w:t>
            </w:r>
            <w:proofErr w:type="spellStart"/>
            <w:r w:rsidRPr="0022439D">
              <w:t>discovery</w:t>
            </w:r>
            <w:proofErr w:type="spellEnd"/>
            <w:r w:rsidRPr="0022439D">
              <w:t>) do realizační praxe (</w:t>
            </w:r>
            <w:proofErr w:type="spellStart"/>
            <w:r w:rsidRPr="0022439D">
              <w:t>drug</w:t>
            </w:r>
            <w:proofErr w:type="spellEnd"/>
            <w:r w:rsidRPr="0022439D">
              <w:t xml:space="preserve"> </w:t>
            </w:r>
            <w:proofErr w:type="spellStart"/>
            <w:r w:rsidRPr="0022439D">
              <w:t>delivery</w:t>
            </w:r>
            <w:proofErr w:type="spellEnd"/>
            <w:r w:rsidRPr="0022439D">
              <w:t xml:space="preserve">). Existují celé soubory chybějících kompetencí (chemie pevné fáze, </w:t>
            </w:r>
            <w:proofErr w:type="spellStart"/>
            <w:r w:rsidRPr="0022439D">
              <w:t>preformulace</w:t>
            </w:r>
            <w:proofErr w:type="spellEnd"/>
            <w:r w:rsidRPr="0022439D">
              <w:t xml:space="preserve">, biofarmacie a další), které nelze doplnit z prostého důvodu, že není, kde je studovat. Z tohoto </w:t>
            </w:r>
            <w:r w:rsidRPr="0022439D">
              <w:lastRenderedPageBreak/>
              <w:t xml:space="preserve">důvodu je třeba posílit oborovou strukturu studií, které se týkají farmaceutického inženýrství. </w:t>
            </w:r>
          </w:p>
          <w:p w14:paraId="07CF6C3C" w14:textId="77777777" w:rsidR="00104AE7" w:rsidRPr="0022439D" w:rsidRDefault="00104AE7" w:rsidP="00744BDC">
            <w:pPr>
              <w:pStyle w:val="Odstavecseseznamem"/>
            </w:pPr>
          </w:p>
          <w:p w14:paraId="3B77DD63" w14:textId="77777777" w:rsidR="00104AE7" w:rsidRDefault="00104AE7" w:rsidP="0086139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2439D">
              <w:t>Paralelní investice do vyhledávacího výzkumu nových chemických struktur účinných látek a technologií umožňujících praktické aplikace urychlí významně přenos základního výzkumu do realizační fáze a vznik farmaceutických start-</w:t>
            </w:r>
            <w:proofErr w:type="spellStart"/>
            <w:r w:rsidRPr="0022439D">
              <w:t>upových</w:t>
            </w:r>
            <w:proofErr w:type="spellEnd"/>
            <w:r w:rsidRPr="0022439D">
              <w:t xml:space="preserve"> společností. </w:t>
            </w:r>
          </w:p>
          <w:p w14:paraId="00750386" w14:textId="77777777" w:rsidR="00104AE7" w:rsidRPr="006E02D9" w:rsidRDefault="00104AE7" w:rsidP="00744BDC">
            <w:pPr>
              <w:pStyle w:val="Odstavecseseznamem"/>
            </w:pPr>
          </w:p>
          <w:p w14:paraId="2414D604" w14:textId="77777777" w:rsidR="00104AE7" w:rsidRDefault="00104AE7" w:rsidP="00744BDC">
            <w:pPr>
              <w:pStyle w:val="Odstavecseseznamem"/>
            </w:pPr>
          </w:p>
          <w:p w14:paraId="4E6322FB" w14:textId="77777777" w:rsidR="00104AE7" w:rsidRDefault="00104AE7" w:rsidP="0086139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Doplnit následující text: „</w:t>
            </w:r>
            <w:r w:rsidRPr="00F60301">
              <w:t>Další částí strategie bude zaměření na soběstačnost ve vývoji a výrobě generických nízkomolekulárních účinných látek a léčiv. Cílem je také snížit závislost na dovozu ze zahraničí a posílení generického pilíře farmakoterapie s cílem na dosažení nákladů zdravotnického systému. Zavádění technologií a postupů, které povedou k snížení energetické náročnosti a celkovému zvýšení efektivity syntetických výrob a snížení dopadů na životní prostředí</w:t>
            </w:r>
            <w:r w:rsidRPr="00112E50">
              <w:t>.</w:t>
            </w:r>
            <w:r>
              <w:t>“</w:t>
            </w:r>
          </w:p>
          <w:p w14:paraId="4C41E01F" w14:textId="77777777" w:rsidR="00104AE7" w:rsidRPr="008451D6" w:rsidRDefault="00104AE7" w:rsidP="00744BD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FDAD5" w14:textId="77777777" w:rsidR="00104AE7" w:rsidRPr="005A5A03" w:rsidRDefault="00104AE7" w:rsidP="00744BDC">
            <w:pPr>
              <w:jc w:val="both"/>
              <w:rPr>
                <w:sz w:val="22"/>
                <w:szCs w:val="22"/>
              </w:rPr>
            </w:pPr>
            <w:r w:rsidRPr="005A5A03">
              <w:rPr>
                <w:bCs/>
                <w:sz w:val="22"/>
                <w:szCs w:val="22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A5A03">
              <w:rPr>
                <w:bCs/>
                <w:sz w:val="22"/>
                <w:szCs w:val="22"/>
              </w:rPr>
              <w:instrText xml:space="preserve"> FORMTEXT </w:instrText>
            </w:r>
            <w:r w:rsidRPr="005A5A03">
              <w:rPr>
                <w:bCs/>
                <w:sz w:val="22"/>
                <w:szCs w:val="22"/>
              </w:rPr>
            </w:r>
            <w:r w:rsidRPr="005A5A03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 w:rsidRPr="005A5A0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04AE7" w:rsidRPr="00B77102" w14:paraId="19CED961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5685" w14:textId="77777777" w:rsidR="00104AE7" w:rsidRPr="00B77102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0B8E" w14:textId="77777777" w:rsidR="00104AE7" w:rsidRPr="00EE780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E7807">
              <w:rPr>
                <w:b/>
                <w:sz w:val="22"/>
                <w:szCs w:val="22"/>
                <w:u w:val="single"/>
              </w:rPr>
              <w:t>Kapitola 7.3.2 Nízkomolekulární léčiva</w:t>
            </w:r>
          </w:p>
          <w:p w14:paraId="63ACF4E4" w14:textId="77777777" w:rsidR="00104AE7" w:rsidRPr="00EE7807" w:rsidRDefault="00104AE7" w:rsidP="00744BDC">
            <w:pPr>
              <w:rPr>
                <w:b/>
                <w:sz w:val="22"/>
                <w:szCs w:val="22"/>
                <w:u w:val="single"/>
              </w:rPr>
            </w:pPr>
            <w:r w:rsidRPr="00EE7807">
              <w:rPr>
                <w:b/>
                <w:sz w:val="22"/>
                <w:szCs w:val="22"/>
                <w:u w:val="single"/>
              </w:rPr>
              <w:t>Hlavní cíl</w:t>
            </w:r>
          </w:p>
          <w:p w14:paraId="7D3BB268" w14:textId="77777777" w:rsidR="00104AE7" w:rsidRDefault="00104AE7" w:rsidP="0086139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Doplnit text: „</w:t>
            </w:r>
            <w:r w:rsidRPr="00887EC6">
              <w:t>Další částí strategie bude zaměření na soběstačnost ve vývoji a výrobě generických nízkomolekulárních účinných látek a léčiv. Cílem je také snížit závislost na dovozu ze zahraničí a posílení generického pilíře farmakoterapie s cílem dosažení</w:t>
            </w:r>
            <w:r>
              <w:t xml:space="preserve"> snížení</w:t>
            </w:r>
            <w:r w:rsidRPr="00887EC6">
              <w:t xml:space="preserve"> nákladů zdravotnického systému. Zaváděn</w:t>
            </w:r>
            <w:r>
              <w:t xml:space="preserve">y by měly být </w:t>
            </w:r>
            <w:r w:rsidRPr="00887EC6">
              <w:t>technologi</w:t>
            </w:r>
            <w:r>
              <w:t>e</w:t>
            </w:r>
            <w:r w:rsidRPr="00887EC6">
              <w:t xml:space="preserve"> a postup</w:t>
            </w:r>
            <w:r>
              <w:t>y</w:t>
            </w:r>
            <w:r w:rsidRPr="00887EC6">
              <w:t>, které povedou k snížení energetické náročnosti a celkovému zvýšení efektivity syntetických výrob a snížení dopadů na životní prostředí.</w:t>
            </w:r>
            <w:r>
              <w:t>“</w:t>
            </w:r>
          </w:p>
          <w:p w14:paraId="763828FA" w14:textId="77777777" w:rsidR="00104AE7" w:rsidRPr="005A5A03" w:rsidRDefault="00104AE7" w:rsidP="00744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8FFEB" w14:textId="77777777" w:rsidR="00104AE7" w:rsidRPr="005A5A03" w:rsidRDefault="00104AE7" w:rsidP="00744BDC">
            <w:pPr>
              <w:rPr>
                <w:sz w:val="22"/>
                <w:szCs w:val="22"/>
              </w:rPr>
            </w:pPr>
            <w:r w:rsidRPr="005A5A03">
              <w:rPr>
                <w:bCs/>
                <w:sz w:val="22"/>
                <w:szCs w:val="22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A5A03">
              <w:rPr>
                <w:bCs/>
                <w:sz w:val="22"/>
                <w:szCs w:val="22"/>
              </w:rPr>
              <w:instrText xml:space="preserve"> FORMTEXT </w:instrText>
            </w:r>
            <w:r w:rsidRPr="005A5A03">
              <w:rPr>
                <w:bCs/>
                <w:sz w:val="22"/>
                <w:szCs w:val="22"/>
              </w:rPr>
            </w:r>
            <w:r w:rsidRPr="005A5A03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 w:rsidRPr="005A5A0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04AE7" w:rsidRPr="00B77102" w14:paraId="49C5A18A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60D25" w14:textId="77777777" w:rsidR="00104AE7" w:rsidRPr="00B77102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130A" w14:textId="77777777" w:rsidR="00104AE7" w:rsidRPr="00EE780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E7807">
              <w:rPr>
                <w:b/>
                <w:sz w:val="22"/>
                <w:szCs w:val="22"/>
                <w:u w:val="single"/>
              </w:rPr>
              <w:t>Kapitola 7.3.2 Nízkomolekulární léčiva</w:t>
            </w:r>
          </w:p>
          <w:p w14:paraId="485E553A" w14:textId="77777777" w:rsidR="00104AE7" w:rsidRPr="00EE7807" w:rsidRDefault="00104AE7" w:rsidP="00744BDC">
            <w:pPr>
              <w:rPr>
                <w:b/>
                <w:sz w:val="22"/>
                <w:szCs w:val="22"/>
                <w:u w:val="single"/>
              </w:rPr>
            </w:pPr>
            <w:r w:rsidRPr="00EE7807">
              <w:rPr>
                <w:b/>
                <w:sz w:val="22"/>
                <w:szCs w:val="22"/>
                <w:u w:val="single"/>
              </w:rPr>
              <w:t>Dílčí cíle</w:t>
            </w:r>
          </w:p>
          <w:p w14:paraId="65F86FCE" w14:textId="77777777" w:rsidR="00104AE7" w:rsidRDefault="00104AE7" w:rsidP="0086139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Doplnit dílčí cíle:</w:t>
            </w:r>
          </w:p>
          <w:p w14:paraId="06E61498" w14:textId="77777777" w:rsidR="00104AE7" w:rsidRPr="000747F5" w:rsidRDefault="00104AE7" w:rsidP="00744B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Pr="000747F5">
              <w:rPr>
                <w:b/>
                <w:bCs/>
                <w:sz w:val="22"/>
                <w:szCs w:val="22"/>
              </w:rPr>
              <w:t>Dílčí cíl 3 Generické nízkomolekulární molekuly</w:t>
            </w:r>
          </w:p>
          <w:p w14:paraId="43B0CE21" w14:textId="77777777" w:rsidR="00104AE7" w:rsidRPr="00733CC8" w:rsidRDefault="00104AE7" w:rsidP="00744BDC">
            <w:pPr>
              <w:rPr>
                <w:sz w:val="22"/>
                <w:szCs w:val="22"/>
              </w:rPr>
            </w:pPr>
            <w:r w:rsidRPr="00733CC8">
              <w:rPr>
                <w:sz w:val="22"/>
                <w:szCs w:val="22"/>
              </w:rPr>
              <w:t>Vývoj syntetických postupů pro výrobu nízkomolekulárních účinných látek a léčiv. Podpora zavádění nových produktů do výroby a optimalizace a zlepšování stávajících kapacit s ohledem na udržitelnost, bezpečnost a energetickou náročnost. Posílení soběstačnosti výroby generických nízkomolekulárních účinných látek a léčiv v České republice a snížení závislosti na dovozu surovin a pokročilých intermediátů pro výrobu ze zahraničí.</w:t>
            </w:r>
          </w:p>
          <w:p w14:paraId="70E0A9B1" w14:textId="77777777" w:rsidR="00104AE7" w:rsidRPr="00ED5044" w:rsidRDefault="00104AE7" w:rsidP="00744BDC">
            <w:pPr>
              <w:ind w:left="360"/>
              <w:rPr>
                <w:sz w:val="22"/>
                <w:szCs w:val="22"/>
              </w:rPr>
            </w:pPr>
          </w:p>
          <w:p w14:paraId="75DAE61B" w14:textId="77777777" w:rsidR="00104AE7" w:rsidRPr="00C466A6" w:rsidRDefault="00104AE7" w:rsidP="00744BDC">
            <w:pPr>
              <w:rPr>
                <w:b/>
                <w:bCs/>
                <w:sz w:val="22"/>
                <w:szCs w:val="22"/>
              </w:rPr>
            </w:pPr>
            <w:r w:rsidRPr="00C466A6">
              <w:rPr>
                <w:b/>
                <w:bCs/>
                <w:sz w:val="22"/>
                <w:szCs w:val="22"/>
              </w:rPr>
              <w:t>Dílčí cíl 4 Inovativní technologie pro výrobu nízkomolekulárních účinných látek a léčiv</w:t>
            </w:r>
          </w:p>
          <w:p w14:paraId="69BA8EEB" w14:textId="77777777" w:rsidR="00104AE7" w:rsidRPr="001A13A1" w:rsidRDefault="00104AE7" w:rsidP="00744BDC">
            <w:pPr>
              <w:rPr>
                <w:sz w:val="22"/>
                <w:szCs w:val="22"/>
              </w:rPr>
            </w:pPr>
            <w:r w:rsidRPr="001A13A1">
              <w:rPr>
                <w:sz w:val="22"/>
                <w:szCs w:val="22"/>
              </w:rPr>
              <w:t xml:space="preserve">Podpora výrobních kapacit nových a generických nízkomolekulárních účinných látek a léčiv. Zavádění inovativních technologií, které zvyšují efektivitu výroby s ohledem na udržitelnost, bezpečnost a energetickou náročnost. Příprava nízkomolekulárních účinných látek a léčiv kontinuálními postupy a průtokovými systémy, s využitím on-line, </w:t>
            </w:r>
            <w:proofErr w:type="spellStart"/>
            <w:r w:rsidRPr="001A13A1">
              <w:rPr>
                <w:sz w:val="22"/>
                <w:szCs w:val="22"/>
              </w:rPr>
              <w:t>at</w:t>
            </w:r>
            <w:proofErr w:type="spellEnd"/>
            <w:r w:rsidRPr="001A13A1">
              <w:rPr>
                <w:sz w:val="22"/>
                <w:szCs w:val="22"/>
              </w:rPr>
              <w:t>-line, in-line monitorování kvality výrobku a průběhu výroby.</w:t>
            </w:r>
            <w:r>
              <w:rPr>
                <w:sz w:val="22"/>
                <w:szCs w:val="22"/>
              </w:rPr>
              <w:t>“</w:t>
            </w:r>
          </w:p>
          <w:p w14:paraId="3509C9FA" w14:textId="77777777" w:rsidR="00104AE7" w:rsidRPr="0018435E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65848" w14:textId="77777777" w:rsidR="00104AE7" w:rsidRPr="005A5A03" w:rsidRDefault="00104AE7" w:rsidP="00744BDC">
            <w:pPr>
              <w:rPr>
                <w:bCs/>
                <w:sz w:val="22"/>
                <w:szCs w:val="22"/>
              </w:rPr>
            </w:pPr>
          </w:p>
        </w:tc>
      </w:tr>
      <w:tr w:rsidR="00104AE7" w:rsidRPr="00B77102" w14:paraId="466608D6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30DBD" w14:textId="77777777" w:rsidR="00104AE7" w:rsidRPr="00B77102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E6FF" w14:textId="77777777" w:rsidR="00104AE7" w:rsidRPr="006F3EE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bookmarkStart w:id="1" w:name="_Toc99174826"/>
            <w:r>
              <w:rPr>
                <w:b/>
                <w:sz w:val="22"/>
                <w:szCs w:val="22"/>
                <w:u w:val="single"/>
              </w:rPr>
              <w:t xml:space="preserve">Kapitola </w:t>
            </w:r>
            <w:r w:rsidRPr="006F3EE7">
              <w:rPr>
                <w:b/>
                <w:sz w:val="22"/>
                <w:szCs w:val="22"/>
                <w:u w:val="single"/>
              </w:rPr>
              <w:t>7.3.3. Léčivé přípravky pro moderní terapie</w:t>
            </w:r>
            <w:bookmarkEnd w:id="1"/>
            <w:r w:rsidRPr="006F3EE7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2424AE96" w14:textId="77777777" w:rsidR="00104AE7" w:rsidRPr="006F3EE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F3EE7">
              <w:rPr>
                <w:b/>
                <w:sz w:val="22"/>
                <w:szCs w:val="22"/>
                <w:u w:val="single"/>
              </w:rPr>
              <w:t>Dílčí cíle</w:t>
            </w:r>
          </w:p>
          <w:p w14:paraId="2E4A8430" w14:textId="77777777" w:rsidR="00104AE7" w:rsidRPr="006F3EE7" w:rsidRDefault="00104AE7" w:rsidP="00744BDC">
            <w:pPr>
              <w:rPr>
                <w:b/>
                <w:bCs/>
                <w:sz w:val="22"/>
                <w:szCs w:val="22"/>
              </w:rPr>
            </w:pPr>
            <w:r w:rsidRPr="006F3EE7">
              <w:rPr>
                <w:b/>
                <w:bCs/>
                <w:sz w:val="22"/>
                <w:szCs w:val="22"/>
              </w:rPr>
              <w:t xml:space="preserve">Dílčí cíl 5 Podpora </w:t>
            </w:r>
            <w:proofErr w:type="spellStart"/>
            <w:r w:rsidRPr="006F3EE7">
              <w:rPr>
                <w:b/>
                <w:bCs/>
                <w:sz w:val="22"/>
                <w:szCs w:val="22"/>
              </w:rPr>
              <w:t>proof-of-concept</w:t>
            </w:r>
            <w:proofErr w:type="spellEnd"/>
            <w:r w:rsidRPr="006F3EE7">
              <w:rPr>
                <w:b/>
                <w:bCs/>
                <w:sz w:val="22"/>
                <w:szCs w:val="22"/>
              </w:rPr>
              <w:t xml:space="preserve"> klinických studií fáze I/II pro hodnocení bezpečnosti a účinnosti léčivých přípravků pro moderní terapie  </w:t>
            </w:r>
          </w:p>
          <w:p w14:paraId="7BBDFB27" w14:textId="77777777" w:rsidR="00104AE7" w:rsidRDefault="00104AE7" w:rsidP="00744BDC">
            <w:pPr>
              <w:rPr>
                <w:sz w:val="22"/>
                <w:szCs w:val="22"/>
              </w:rPr>
            </w:pPr>
          </w:p>
          <w:p w14:paraId="4258FF94" w14:textId="77777777" w:rsidR="00104AE7" w:rsidRPr="007C42B1" w:rsidRDefault="00104AE7" w:rsidP="0086139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 w:rsidRPr="00A768B8">
              <w:t xml:space="preserve">Budování kompetencí pro </w:t>
            </w:r>
            <w:proofErr w:type="spellStart"/>
            <w:r w:rsidRPr="00A768B8">
              <w:t>preklinicky</w:t>
            </w:r>
            <w:proofErr w:type="spellEnd"/>
            <w:r w:rsidRPr="00A768B8">
              <w:t xml:space="preserve"> a klinicky výzkum </w:t>
            </w:r>
            <w:proofErr w:type="spellStart"/>
            <w:r w:rsidRPr="00A768B8">
              <w:t>faze</w:t>
            </w:r>
            <w:proofErr w:type="spellEnd"/>
            <w:r w:rsidRPr="00A768B8">
              <w:t xml:space="preserve"> I/II je kritické pro zajištění návratnosti investic do vyhledávacího akademického výzkumu nových molekul </w:t>
            </w:r>
            <w:r w:rsidRPr="00A768B8">
              <w:lastRenderedPageBreak/>
              <w:t xml:space="preserve">přenosem do </w:t>
            </w:r>
            <w:proofErr w:type="spellStart"/>
            <w:r w:rsidRPr="00A768B8">
              <w:t>startupových</w:t>
            </w:r>
            <w:proofErr w:type="spellEnd"/>
            <w:r w:rsidRPr="00A768B8">
              <w:t xml:space="preserve"> společností, tak i pro rozvoj existujících farmaceutických firem. </w:t>
            </w:r>
          </w:p>
          <w:p w14:paraId="6B51A6B5" w14:textId="77777777" w:rsidR="00104AE7" w:rsidRPr="00A768B8" w:rsidRDefault="00104AE7" w:rsidP="00744BDC">
            <w:pPr>
              <w:pStyle w:val="Odstavecseseznamem"/>
              <w:rPr>
                <w:u w:val="single"/>
              </w:rPr>
            </w:pPr>
          </w:p>
          <w:p w14:paraId="367554B5" w14:textId="77777777" w:rsidR="00104AE7" w:rsidRPr="00BF0633" w:rsidRDefault="00104AE7" w:rsidP="0086139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 w:rsidRPr="00A768B8">
              <w:t xml:space="preserve">Na pracovním trhu v ČR existuje velká mezera právě v této oblasti vývoje nových přípravků. Tento nedostatek blokuje vývoj nových terapeutik, tak i vývoj inovativních </w:t>
            </w:r>
            <w:proofErr w:type="spellStart"/>
            <w:r w:rsidRPr="00A768B8">
              <w:t>drug</w:t>
            </w:r>
            <w:proofErr w:type="spellEnd"/>
            <w:r w:rsidRPr="00A768B8">
              <w:t xml:space="preserve"> </w:t>
            </w:r>
            <w:proofErr w:type="spellStart"/>
            <w:r w:rsidRPr="00A768B8">
              <w:t>delivery</w:t>
            </w:r>
            <w:proofErr w:type="spellEnd"/>
            <w:r w:rsidRPr="00A768B8">
              <w:t xml:space="preserve"> systémů, které vylepšují existující terapie a „</w:t>
            </w:r>
            <w:proofErr w:type="spellStart"/>
            <w:r w:rsidRPr="00A768B8">
              <w:t>drug</w:t>
            </w:r>
            <w:proofErr w:type="spellEnd"/>
            <w:r w:rsidRPr="00A768B8">
              <w:t xml:space="preserve"> </w:t>
            </w:r>
            <w:proofErr w:type="spellStart"/>
            <w:r w:rsidRPr="00A768B8">
              <w:t>repurposing</w:t>
            </w:r>
            <w:proofErr w:type="spellEnd"/>
            <w:r w:rsidRPr="00A768B8">
              <w:t>“ využitím existujících molekul pro nové indikace.</w:t>
            </w:r>
          </w:p>
          <w:p w14:paraId="4E3F6D68" w14:textId="77777777" w:rsidR="00104AE7" w:rsidRPr="00A768B8" w:rsidRDefault="00104AE7" w:rsidP="00744BDC">
            <w:pPr>
              <w:pStyle w:val="Odstavecseseznamem"/>
              <w:rPr>
                <w:u w:val="single"/>
              </w:rPr>
            </w:pPr>
          </w:p>
        </w:tc>
        <w:tc>
          <w:tcPr>
            <w:tcW w:w="6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1DD2" w14:textId="77777777" w:rsidR="00104AE7" w:rsidRPr="005A5A03" w:rsidRDefault="00104AE7" w:rsidP="00744BDC">
            <w:pPr>
              <w:rPr>
                <w:bCs/>
                <w:sz w:val="22"/>
                <w:szCs w:val="22"/>
              </w:rPr>
            </w:pPr>
          </w:p>
        </w:tc>
      </w:tr>
      <w:tr w:rsidR="00104AE7" w:rsidRPr="00B77102" w14:paraId="318772CB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DC3D8" w14:textId="77777777" w:rsidR="00104AE7" w:rsidRPr="00B77102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27F6" w14:textId="77777777" w:rsidR="00104AE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Kapitola </w:t>
            </w:r>
            <w:bookmarkStart w:id="2" w:name="_Toc99174827"/>
            <w:r w:rsidRPr="000F6B6E">
              <w:rPr>
                <w:b/>
                <w:sz w:val="22"/>
                <w:szCs w:val="22"/>
                <w:u w:val="single"/>
              </w:rPr>
              <w:t>7.3.4. Biologická léčiva včetně profylaktických a terapeutických vakcín</w:t>
            </w:r>
            <w:bookmarkEnd w:id="2"/>
            <w:r w:rsidRPr="000F6B6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3BACD0D3" w14:textId="77777777" w:rsidR="00104AE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6FD3FAED" w14:textId="77777777" w:rsidR="00104AE7" w:rsidRPr="00A768B8" w:rsidRDefault="00104AE7" w:rsidP="0086139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A768B8">
              <w:t xml:space="preserve">Vyhledávací výzkum v těchto oblastech musí být doplněn o vytvoření kompetenčních center zaměřených na výzkum a vývoj odpovídajících produkčních technologií. Na rozdíl od chemické syntézy nízkomolekulárních látek, v ČR v současné době neexistuje (až na výjimky) </w:t>
            </w:r>
            <w:proofErr w:type="spellStart"/>
            <w:r w:rsidRPr="00A768B8">
              <w:t>know</w:t>
            </w:r>
            <w:proofErr w:type="spellEnd"/>
            <w:r w:rsidRPr="00A768B8">
              <w:t xml:space="preserve"> </w:t>
            </w:r>
            <w:proofErr w:type="spellStart"/>
            <w:r w:rsidRPr="00A768B8">
              <w:t>how</w:t>
            </w:r>
            <w:proofErr w:type="spellEnd"/>
            <w:r w:rsidRPr="00A768B8">
              <w:t xml:space="preserve"> a lidský potenciál pro výrobu </w:t>
            </w:r>
            <w:proofErr w:type="spellStart"/>
            <w:r w:rsidRPr="00A768B8">
              <w:t>biomedicinálních</w:t>
            </w:r>
            <w:proofErr w:type="spellEnd"/>
            <w:r w:rsidRPr="00A768B8">
              <w:t xml:space="preserve"> přípravků pro klinické testování a případnou následnou výrobu. Nejlepší světová praxe ukazuje na vytváření center </w:t>
            </w:r>
            <w:proofErr w:type="spellStart"/>
            <w:r w:rsidRPr="00A768B8">
              <w:t>pre-competetivniho</w:t>
            </w:r>
            <w:proofErr w:type="spellEnd"/>
            <w:r w:rsidRPr="00A768B8">
              <w:t xml:space="preserve"> výzkumu zaměřených na přenos principiálně nových laboratorních technologií do reálných technologií, použitelných v </w:t>
            </w:r>
            <w:proofErr w:type="gramStart"/>
            <w:r w:rsidRPr="00A768B8">
              <w:t>industriálních</w:t>
            </w:r>
            <w:proofErr w:type="gramEnd"/>
            <w:r w:rsidRPr="00A768B8">
              <w:t xml:space="preserve"> měřítku s reálnou ekonomikou. </w:t>
            </w:r>
          </w:p>
          <w:p w14:paraId="324E52DB" w14:textId="77777777" w:rsidR="00104AE7" w:rsidRPr="00D60420" w:rsidRDefault="00104AE7" w:rsidP="00744BDC">
            <w:pPr>
              <w:rPr>
                <w:sz w:val="22"/>
                <w:szCs w:val="22"/>
              </w:rPr>
            </w:pPr>
            <w:r w:rsidRPr="00D60420">
              <w:rPr>
                <w:sz w:val="22"/>
                <w:szCs w:val="22"/>
              </w:rPr>
              <w:t xml:space="preserve">Například: </w:t>
            </w:r>
          </w:p>
          <w:p w14:paraId="01CD5FAC" w14:textId="77777777" w:rsidR="00104AE7" w:rsidRPr="00D60420" w:rsidRDefault="00104AE7" w:rsidP="00744BDC">
            <w:pPr>
              <w:rPr>
                <w:sz w:val="22"/>
                <w:szCs w:val="22"/>
              </w:rPr>
            </w:pPr>
            <w:hyperlink r:id="rId8" w:history="1">
              <w:r w:rsidRPr="00D60420">
                <w:rPr>
                  <w:sz w:val="22"/>
                  <w:szCs w:val="22"/>
                </w:rPr>
                <w:t>https://www.uk-cpi.com/news/uk-collaboration-leads-the-way-on-revolutionising-oligonucleotide-medicines-manufacturing</w:t>
              </w:r>
            </w:hyperlink>
          </w:p>
          <w:p w14:paraId="3EDC013B" w14:textId="77777777" w:rsidR="00104AE7" w:rsidRPr="00A768B8" w:rsidRDefault="00104AE7" w:rsidP="00744BDC">
            <w:pPr>
              <w:rPr>
                <w:sz w:val="22"/>
                <w:szCs w:val="22"/>
              </w:rPr>
            </w:pPr>
            <w:hyperlink r:id="rId9" w:history="1">
              <w:r w:rsidRPr="00D60420">
                <w:rPr>
                  <w:sz w:val="22"/>
                  <w:szCs w:val="22"/>
                </w:rPr>
                <w:t>https://www.nibrt.ie/</w:t>
              </w:r>
            </w:hyperlink>
          </w:p>
        </w:tc>
        <w:tc>
          <w:tcPr>
            <w:tcW w:w="6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13AC" w14:textId="77777777" w:rsidR="00104AE7" w:rsidRPr="005A5A03" w:rsidRDefault="00104AE7" w:rsidP="00744BDC">
            <w:pPr>
              <w:rPr>
                <w:bCs/>
                <w:sz w:val="22"/>
                <w:szCs w:val="22"/>
              </w:rPr>
            </w:pPr>
          </w:p>
        </w:tc>
      </w:tr>
      <w:tr w:rsidR="00104AE7" w:rsidRPr="00B77102" w14:paraId="250B0218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B043" w14:textId="77777777" w:rsidR="00104AE7" w:rsidRPr="00B77102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BE00" w14:textId="77777777" w:rsidR="00104AE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bookmarkStart w:id="3" w:name="_Toc99174828"/>
            <w:r w:rsidRPr="002B0B00">
              <w:rPr>
                <w:b/>
                <w:sz w:val="22"/>
                <w:szCs w:val="22"/>
                <w:u w:val="single"/>
              </w:rPr>
              <w:t>7.3.5. Nové formulace léčiv</w:t>
            </w:r>
            <w:bookmarkEnd w:id="3"/>
            <w:r w:rsidRPr="002B0B0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546E0AB" w14:textId="77777777" w:rsidR="00104AE7" w:rsidRPr="002B0B00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B25AB5A" w14:textId="77777777" w:rsidR="00104AE7" w:rsidRDefault="00104AE7" w:rsidP="0086139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997482">
              <w:t>Koncepce věnuje malou pozornost výzkumu existujících léčiv pro jiné terapeutické využití (</w:t>
            </w:r>
            <w:proofErr w:type="spellStart"/>
            <w:r w:rsidRPr="00997482">
              <w:t>drug</w:t>
            </w:r>
            <w:proofErr w:type="spellEnd"/>
            <w:r w:rsidRPr="00997482">
              <w:t xml:space="preserve"> </w:t>
            </w:r>
            <w:proofErr w:type="spellStart"/>
            <w:r w:rsidRPr="00997482">
              <w:t>repurposing</w:t>
            </w:r>
            <w:proofErr w:type="spellEnd"/>
            <w:r w:rsidRPr="00997482">
              <w:t xml:space="preserve">) a významu tohoto přístupu zejména pro nákladovost léčby a tím i pro zdravotní pojišťovny. </w:t>
            </w:r>
          </w:p>
          <w:p w14:paraId="4F2B947B" w14:textId="77777777" w:rsidR="00104AE7" w:rsidRDefault="00104AE7" w:rsidP="00744BDC">
            <w:pPr>
              <w:pStyle w:val="Odstavecseseznamem"/>
              <w:jc w:val="both"/>
            </w:pPr>
          </w:p>
          <w:p w14:paraId="55EC0507" w14:textId="77777777" w:rsidR="00104AE7" w:rsidRDefault="00104AE7" w:rsidP="0086139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997482">
              <w:t xml:space="preserve">Koncepce neřeší potřebu vývoje nových technologií výroby API a lékových forem zaměřených na snížení výrobních nákladů. Tento typ inovací vede ke zlevnění terapie pro pacienta a přispívá výrazně k celkové udržitelnosti zdravotního systému v ČR, zajištění konkurenceschopnosti výroby léčiv v EU a strategické nezávislosti na importech z Asie. Opomenuta je rovněž potřeba inovací lékových forem z hlediska dopadu jejich výroby na životní prostředí. Inovace v této oblastí vedou k minimalizaci uhlíkové stopy produktu, snížení energetické náročnosti a redukci množství aktivních </w:t>
            </w:r>
            <w:proofErr w:type="gramStart"/>
            <w:r w:rsidRPr="00997482">
              <w:t>substancích</w:t>
            </w:r>
            <w:proofErr w:type="gramEnd"/>
            <w:r w:rsidRPr="00997482">
              <w:t xml:space="preserve"> vstupujících do životního prostředí přes čističky odpadních vod. </w:t>
            </w:r>
          </w:p>
          <w:p w14:paraId="5A89CF48" w14:textId="77777777" w:rsidR="00104AE7" w:rsidRPr="00997482" w:rsidRDefault="00104AE7" w:rsidP="00744BDC">
            <w:pPr>
              <w:pStyle w:val="Odstavecseseznamem"/>
            </w:pPr>
          </w:p>
          <w:p w14:paraId="73E1F304" w14:textId="77777777" w:rsidR="00104AE7" w:rsidRPr="00086092" w:rsidRDefault="00104AE7" w:rsidP="0086139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71D78">
              <w:t xml:space="preserve">Součástí strategie by rovněž měl být výzkum a vývoj nových vylepšených </w:t>
            </w:r>
            <w:proofErr w:type="gramStart"/>
            <w:r w:rsidRPr="00771D78">
              <w:t>formulacích</w:t>
            </w:r>
            <w:proofErr w:type="gramEnd"/>
            <w:r w:rsidRPr="00771D78">
              <w:t xml:space="preserve"> existujících léčiv přinášející novou přidanou hodnotu pro pacienta (</w:t>
            </w:r>
            <w:proofErr w:type="spellStart"/>
            <w:r w:rsidRPr="00771D78">
              <w:t>Value</w:t>
            </w:r>
            <w:proofErr w:type="spellEnd"/>
            <w:r w:rsidRPr="00771D78">
              <w:t xml:space="preserve"> </w:t>
            </w:r>
            <w:proofErr w:type="spellStart"/>
            <w:r w:rsidRPr="00771D78">
              <w:t>Added</w:t>
            </w:r>
            <w:proofErr w:type="spellEnd"/>
            <w:r w:rsidRPr="00771D78">
              <w:t xml:space="preserve"> </w:t>
            </w:r>
            <w:proofErr w:type="spellStart"/>
            <w:r w:rsidRPr="00771D78">
              <w:t>Medicine</w:t>
            </w:r>
            <w:proofErr w:type="spellEnd"/>
            <w:r w:rsidRPr="00771D78">
              <w:t xml:space="preserve">). Například eliminace nežádoucích účinků, zlepšení </w:t>
            </w:r>
            <w:proofErr w:type="spellStart"/>
            <w:r w:rsidRPr="00771D78">
              <w:t>compliance</w:t>
            </w:r>
            <w:proofErr w:type="spellEnd"/>
            <w:r w:rsidRPr="00771D78">
              <w:t xml:space="preserve"> pacienta s předepsanou terapií (adherence skutečné aplikace léčiv je obecně velmi nízká a způsobuje velké škody ekonomické i zbytečná úmrtí), zvýšení terapeutického účinku atp. Například v USA bylo za posledních 10 let zaregistrování ročně v průměru 50 VAM léčiv (505 (b) (2) hybridní registrace v systému FDA), </w:t>
            </w:r>
            <w:proofErr w:type="spellStart"/>
            <w:r w:rsidRPr="00771D78">
              <w:t>tj</w:t>
            </w:r>
            <w:proofErr w:type="spellEnd"/>
            <w:r w:rsidRPr="00771D78">
              <w:t xml:space="preserve"> množství srovnatelné s registracemi nových chemických </w:t>
            </w:r>
            <w:r w:rsidRPr="00771D78">
              <w:lastRenderedPageBreak/>
              <w:t xml:space="preserve">entit. EU i ČR ve vývoji uvádění VAM </w:t>
            </w:r>
            <w:r w:rsidRPr="00086092">
              <w:t xml:space="preserve">vylepšených lékových forem výrazně za USA zaostávají. </w:t>
            </w:r>
          </w:p>
          <w:p w14:paraId="3E34D5F1" w14:textId="77777777" w:rsidR="00104AE7" w:rsidRPr="00086092" w:rsidRDefault="00104AE7" w:rsidP="00744BDC">
            <w:pPr>
              <w:pStyle w:val="Odstavecseseznamem"/>
            </w:pPr>
          </w:p>
          <w:p w14:paraId="0C005133" w14:textId="77777777" w:rsidR="00104AE7" w:rsidRDefault="00104AE7" w:rsidP="0086139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u w:val="single"/>
              </w:rPr>
            </w:pPr>
            <w:r w:rsidRPr="00086092">
              <w:t xml:space="preserve">Výrazný pokrok ve výzkumu a vývoji nových terapeutických indikací a vylepšených VAM </w:t>
            </w:r>
            <w:proofErr w:type="spellStart"/>
            <w:r w:rsidRPr="00086092">
              <w:t>drug</w:t>
            </w:r>
            <w:proofErr w:type="spellEnd"/>
            <w:r w:rsidRPr="00086092">
              <w:t xml:space="preserve"> </w:t>
            </w:r>
            <w:proofErr w:type="spellStart"/>
            <w:r w:rsidRPr="00086092">
              <w:t>delivery</w:t>
            </w:r>
            <w:proofErr w:type="spellEnd"/>
            <w:r w:rsidRPr="00086092">
              <w:t xml:space="preserve"> systémů by umožnil funkční systém finanční podpory akademických klinických studií. Například mezi lety 2016 – 2020 </w:t>
            </w:r>
            <w:proofErr w:type="gramStart"/>
            <w:r w:rsidRPr="00086092">
              <w:t>ze</w:t>
            </w:r>
            <w:proofErr w:type="gramEnd"/>
            <w:r w:rsidRPr="00086092">
              <w:t xml:space="preserve"> 16 nových terapeutických indikací pro vzácná onemocnění (</w:t>
            </w:r>
            <w:proofErr w:type="spellStart"/>
            <w:r w:rsidRPr="00086092">
              <w:t>ophan</w:t>
            </w:r>
            <w:proofErr w:type="spellEnd"/>
            <w:r w:rsidRPr="00086092">
              <w:t xml:space="preserve"> </w:t>
            </w:r>
            <w:proofErr w:type="spellStart"/>
            <w:r w:rsidRPr="00086092">
              <w:t>drugs</w:t>
            </w:r>
            <w:proofErr w:type="spellEnd"/>
            <w:r w:rsidRPr="00086092">
              <w:t>) existujících účinných látek registrovaných v EU, 12 (75%) bylo iniciováno v akademickém prostředí a jen 4 ve farmaceutickém průmyslu.</w:t>
            </w:r>
            <w:r w:rsidRPr="00BF0633">
              <w:rPr>
                <w:b/>
                <w:u w:val="single"/>
              </w:rPr>
              <w:t xml:space="preserve">  </w:t>
            </w:r>
          </w:p>
          <w:p w14:paraId="0337D26B" w14:textId="77777777" w:rsidR="00104AE7" w:rsidRPr="00F03E38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11E4" w14:textId="77777777" w:rsidR="00104AE7" w:rsidRPr="005A5A03" w:rsidRDefault="00104AE7" w:rsidP="00744BDC">
            <w:pPr>
              <w:rPr>
                <w:bCs/>
                <w:sz w:val="22"/>
                <w:szCs w:val="22"/>
              </w:rPr>
            </w:pPr>
          </w:p>
        </w:tc>
      </w:tr>
      <w:tr w:rsidR="00104AE7" w:rsidRPr="00B77102" w14:paraId="7A466C4A" w14:textId="77777777" w:rsidTr="00104AE7">
        <w:trPr>
          <w:trHeight w:val="3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07EB" w14:textId="77777777" w:rsidR="00104AE7" w:rsidRPr="00B77102" w:rsidRDefault="00104AE7" w:rsidP="00744BDC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9ADD" w14:textId="77777777" w:rsidR="00104AE7" w:rsidRPr="00CA62B5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  <w:bookmarkStart w:id="4" w:name="_Toc99174829"/>
            <w:r w:rsidRPr="00CA62B5">
              <w:rPr>
                <w:b/>
                <w:sz w:val="22"/>
                <w:szCs w:val="22"/>
                <w:u w:val="single"/>
              </w:rPr>
              <w:t>7.3.6. Vývoj a výzkum v oblasti nových lékařských přístrojů a zařízení</w:t>
            </w:r>
            <w:bookmarkEnd w:id="4"/>
          </w:p>
          <w:p w14:paraId="5249D79E" w14:textId="77777777" w:rsidR="00104AE7" w:rsidRDefault="00104AE7" w:rsidP="00744BD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75E19F3D" w14:textId="77777777" w:rsidR="00104AE7" w:rsidRPr="003A7487" w:rsidRDefault="00104AE7" w:rsidP="0086139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u w:val="single"/>
              </w:rPr>
            </w:pPr>
            <w:r>
              <w:t>K</w:t>
            </w:r>
            <w:r w:rsidRPr="003A7487">
              <w:t xml:space="preserve">oncepce </w:t>
            </w:r>
            <w:r>
              <w:t>vůbec nereflektuje současný reálný stav – problém</w:t>
            </w:r>
            <w:r w:rsidRPr="003A7487">
              <w:t xml:space="preserve"> s neexistujícími národními notifikovanými osobami, což je zásadní bariera pro rozvoj jak terapeutických přístrojů a zařízení, tak in vitro diagnostiky.</w:t>
            </w:r>
          </w:p>
        </w:tc>
        <w:tc>
          <w:tcPr>
            <w:tcW w:w="6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6D501" w14:textId="77777777" w:rsidR="00104AE7" w:rsidRPr="005A5A03" w:rsidRDefault="00104AE7" w:rsidP="00744BDC">
            <w:pPr>
              <w:rPr>
                <w:bCs/>
                <w:sz w:val="22"/>
                <w:szCs w:val="22"/>
              </w:rPr>
            </w:pPr>
          </w:p>
        </w:tc>
      </w:tr>
    </w:tbl>
    <w:p w14:paraId="3482EB23" w14:textId="56073FB6" w:rsidR="00215348" w:rsidRDefault="00215348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241D54" w14:textId="77777777" w:rsidR="00104AE7" w:rsidRDefault="00104AE7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7D52AD" w14:textId="67B20BFE" w:rsidR="002E0AF4" w:rsidRPr="00271E1A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71E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</w:p>
    <w:p w14:paraId="3B7B31E9" w14:textId="473D87DB" w:rsidR="00AB373A" w:rsidRDefault="00104AE7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Mgr. Jakub Machytka, e-mail: </w:t>
      </w:r>
      <w:hyperlink r:id="rId10" w:history="1">
        <w:r w:rsidRPr="00104AE7">
          <w:rPr>
            <w:rFonts w:asciiTheme="minorHAnsi" w:hAnsiTheme="minorHAnsi" w:cstheme="minorHAnsi"/>
            <w:bCs/>
            <w:color w:val="000000" w:themeColor="text1"/>
            <w:sz w:val="22"/>
            <w:szCs w:val="22"/>
          </w:rPr>
          <w:t>jakub.machytka@uzs.cz</w:t>
        </w:r>
      </w:hyperlink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tel.: 727 956 059</w:t>
      </w:r>
    </w:p>
    <w:p w14:paraId="7B0771F8" w14:textId="1454F778" w:rsidR="007C69D9" w:rsidRPr="00F679B9" w:rsidRDefault="007C69D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7C69D9" w:rsidRPr="00F679B9" w:rsidSect="00104AE7">
      <w:headerReference w:type="even" r:id="rId11"/>
      <w:headerReference w:type="default" r:id="rId12"/>
      <w:footerReference w:type="default" r:id="rId13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B748" w14:textId="77777777" w:rsidR="00861395" w:rsidRDefault="00861395" w:rsidP="00064C09">
      <w:r>
        <w:separator/>
      </w:r>
    </w:p>
  </w:endnote>
  <w:endnote w:type="continuationSeparator" w:id="0">
    <w:p w14:paraId="74CC267A" w14:textId="77777777" w:rsidR="00861395" w:rsidRDefault="00861395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0"/>
      <w:gridCol w:w="4642"/>
      <w:gridCol w:w="4642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7686" w14:textId="77777777" w:rsidR="00861395" w:rsidRDefault="00861395" w:rsidP="00064C09">
      <w:r>
        <w:separator/>
      </w:r>
    </w:p>
  </w:footnote>
  <w:footnote w:type="continuationSeparator" w:id="0">
    <w:p w14:paraId="056DCE8B" w14:textId="77777777" w:rsidR="00861395" w:rsidRDefault="00861395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EDB7" w14:textId="6800574D" w:rsidR="00231539" w:rsidRDefault="00861395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EB81" w14:textId="70220720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BEB8A3" w14:textId="77777777" w:rsidR="00380334" w:rsidRDefault="00380334" w:rsidP="005C2A77">
    <w:pPr>
      <w:pStyle w:val="Zhlav"/>
      <w:jc w:val="right"/>
    </w:pP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CEB"/>
    <w:multiLevelType w:val="hybridMultilevel"/>
    <w:tmpl w:val="F516E566"/>
    <w:lvl w:ilvl="0" w:tplc="27647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6DE9"/>
    <w:multiLevelType w:val="hybridMultilevel"/>
    <w:tmpl w:val="45FEA536"/>
    <w:lvl w:ilvl="0" w:tplc="2040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374"/>
    <w:multiLevelType w:val="hybridMultilevel"/>
    <w:tmpl w:val="F516E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5ECE"/>
    <w:multiLevelType w:val="hybridMultilevel"/>
    <w:tmpl w:val="ED22E3F8"/>
    <w:lvl w:ilvl="0" w:tplc="09321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3C5A"/>
    <w:multiLevelType w:val="hybridMultilevel"/>
    <w:tmpl w:val="D71AA592"/>
    <w:lvl w:ilvl="0" w:tplc="07128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056D"/>
    <w:multiLevelType w:val="hybridMultilevel"/>
    <w:tmpl w:val="632ADD8C"/>
    <w:lvl w:ilvl="0" w:tplc="ADEA8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77DB5FEE"/>
    <w:multiLevelType w:val="hybridMultilevel"/>
    <w:tmpl w:val="EF12200E"/>
    <w:lvl w:ilvl="0" w:tplc="03B80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A"/>
    <w:rsid w:val="00007579"/>
    <w:rsid w:val="00030C7C"/>
    <w:rsid w:val="000317FE"/>
    <w:rsid w:val="000340E5"/>
    <w:rsid w:val="00052977"/>
    <w:rsid w:val="000535E1"/>
    <w:rsid w:val="00057272"/>
    <w:rsid w:val="00064C09"/>
    <w:rsid w:val="0007393D"/>
    <w:rsid w:val="00073962"/>
    <w:rsid w:val="00075029"/>
    <w:rsid w:val="00080822"/>
    <w:rsid w:val="00081611"/>
    <w:rsid w:val="00081709"/>
    <w:rsid w:val="00085B1F"/>
    <w:rsid w:val="00090D90"/>
    <w:rsid w:val="00093228"/>
    <w:rsid w:val="000A2191"/>
    <w:rsid w:val="000A4912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F7398"/>
    <w:rsid w:val="000F7A38"/>
    <w:rsid w:val="00104AE7"/>
    <w:rsid w:val="0011231F"/>
    <w:rsid w:val="001126F4"/>
    <w:rsid w:val="00113B47"/>
    <w:rsid w:val="00120B9B"/>
    <w:rsid w:val="00120FF8"/>
    <w:rsid w:val="0012526D"/>
    <w:rsid w:val="001271B5"/>
    <w:rsid w:val="00140DE7"/>
    <w:rsid w:val="0015157C"/>
    <w:rsid w:val="00153AB3"/>
    <w:rsid w:val="00155582"/>
    <w:rsid w:val="00155D11"/>
    <w:rsid w:val="001730D2"/>
    <w:rsid w:val="001762BA"/>
    <w:rsid w:val="001776D9"/>
    <w:rsid w:val="00190050"/>
    <w:rsid w:val="0019493E"/>
    <w:rsid w:val="00196BE0"/>
    <w:rsid w:val="001A28BA"/>
    <w:rsid w:val="001A2943"/>
    <w:rsid w:val="001A4E7F"/>
    <w:rsid w:val="001B2658"/>
    <w:rsid w:val="001B6B44"/>
    <w:rsid w:val="001C1CFE"/>
    <w:rsid w:val="001C3123"/>
    <w:rsid w:val="001D0100"/>
    <w:rsid w:val="001D12DB"/>
    <w:rsid w:val="001D1D49"/>
    <w:rsid w:val="001D3F71"/>
    <w:rsid w:val="001E1334"/>
    <w:rsid w:val="001E7BFD"/>
    <w:rsid w:val="001F1417"/>
    <w:rsid w:val="001F3A44"/>
    <w:rsid w:val="001F3F71"/>
    <w:rsid w:val="001F623E"/>
    <w:rsid w:val="00201BD9"/>
    <w:rsid w:val="00206637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557AE"/>
    <w:rsid w:val="00271E1A"/>
    <w:rsid w:val="00272B66"/>
    <w:rsid w:val="00276865"/>
    <w:rsid w:val="00281EC5"/>
    <w:rsid w:val="00285255"/>
    <w:rsid w:val="00291AAA"/>
    <w:rsid w:val="00297CBE"/>
    <w:rsid w:val="002A2040"/>
    <w:rsid w:val="002A3655"/>
    <w:rsid w:val="002A61D9"/>
    <w:rsid w:val="002B2BD3"/>
    <w:rsid w:val="002B301A"/>
    <w:rsid w:val="002B7B50"/>
    <w:rsid w:val="002C4F5B"/>
    <w:rsid w:val="002D03AD"/>
    <w:rsid w:val="002D5688"/>
    <w:rsid w:val="002E0AF4"/>
    <w:rsid w:val="002E7A97"/>
    <w:rsid w:val="002E7F35"/>
    <w:rsid w:val="002F56DC"/>
    <w:rsid w:val="003079F4"/>
    <w:rsid w:val="003110CD"/>
    <w:rsid w:val="00325100"/>
    <w:rsid w:val="00325F22"/>
    <w:rsid w:val="0034382A"/>
    <w:rsid w:val="00343C10"/>
    <w:rsid w:val="00345613"/>
    <w:rsid w:val="00354D32"/>
    <w:rsid w:val="00357F17"/>
    <w:rsid w:val="003618A3"/>
    <w:rsid w:val="00362EA9"/>
    <w:rsid w:val="00362FA0"/>
    <w:rsid w:val="003646F6"/>
    <w:rsid w:val="00365932"/>
    <w:rsid w:val="00371AC2"/>
    <w:rsid w:val="00380334"/>
    <w:rsid w:val="0038120A"/>
    <w:rsid w:val="003822B9"/>
    <w:rsid w:val="00397F06"/>
    <w:rsid w:val="003A0AA9"/>
    <w:rsid w:val="003A272D"/>
    <w:rsid w:val="003A57A8"/>
    <w:rsid w:val="003A5942"/>
    <w:rsid w:val="003A7943"/>
    <w:rsid w:val="003B064B"/>
    <w:rsid w:val="003B0DA9"/>
    <w:rsid w:val="003B541F"/>
    <w:rsid w:val="003D0905"/>
    <w:rsid w:val="003F0FD8"/>
    <w:rsid w:val="003F4283"/>
    <w:rsid w:val="00400FEA"/>
    <w:rsid w:val="00410C32"/>
    <w:rsid w:val="00413C81"/>
    <w:rsid w:val="00434B45"/>
    <w:rsid w:val="004359E5"/>
    <w:rsid w:val="00452319"/>
    <w:rsid w:val="00464341"/>
    <w:rsid w:val="004716F1"/>
    <w:rsid w:val="00474423"/>
    <w:rsid w:val="004A608E"/>
    <w:rsid w:val="004B6550"/>
    <w:rsid w:val="004D462D"/>
    <w:rsid w:val="004F3E23"/>
    <w:rsid w:val="00501230"/>
    <w:rsid w:val="00502AB5"/>
    <w:rsid w:val="00503396"/>
    <w:rsid w:val="00503A66"/>
    <w:rsid w:val="00513987"/>
    <w:rsid w:val="00517EC2"/>
    <w:rsid w:val="00530501"/>
    <w:rsid w:val="00542FFA"/>
    <w:rsid w:val="00561471"/>
    <w:rsid w:val="0056658F"/>
    <w:rsid w:val="00581A47"/>
    <w:rsid w:val="00591234"/>
    <w:rsid w:val="0059340D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E74ED"/>
    <w:rsid w:val="005F4CF5"/>
    <w:rsid w:val="006009BB"/>
    <w:rsid w:val="00604270"/>
    <w:rsid w:val="006072B0"/>
    <w:rsid w:val="006171EC"/>
    <w:rsid w:val="00624899"/>
    <w:rsid w:val="00627D2E"/>
    <w:rsid w:val="006334E9"/>
    <w:rsid w:val="0064244F"/>
    <w:rsid w:val="0067518B"/>
    <w:rsid w:val="0068008E"/>
    <w:rsid w:val="00686101"/>
    <w:rsid w:val="00686C89"/>
    <w:rsid w:val="00692850"/>
    <w:rsid w:val="00692F44"/>
    <w:rsid w:val="006A778A"/>
    <w:rsid w:val="006D09CF"/>
    <w:rsid w:val="006D4A0C"/>
    <w:rsid w:val="006E1B59"/>
    <w:rsid w:val="006E71E4"/>
    <w:rsid w:val="006F09E9"/>
    <w:rsid w:val="006F4FBD"/>
    <w:rsid w:val="00712DDA"/>
    <w:rsid w:val="00721067"/>
    <w:rsid w:val="00726DC2"/>
    <w:rsid w:val="007401CD"/>
    <w:rsid w:val="00743CFA"/>
    <w:rsid w:val="00750FA2"/>
    <w:rsid w:val="00753548"/>
    <w:rsid w:val="00754A17"/>
    <w:rsid w:val="0077684A"/>
    <w:rsid w:val="007778A3"/>
    <w:rsid w:val="00786288"/>
    <w:rsid w:val="007A03E7"/>
    <w:rsid w:val="007B24A1"/>
    <w:rsid w:val="007B33CC"/>
    <w:rsid w:val="007B422B"/>
    <w:rsid w:val="007B778B"/>
    <w:rsid w:val="007C69D9"/>
    <w:rsid w:val="007C70F9"/>
    <w:rsid w:val="007D3BFB"/>
    <w:rsid w:val="007E290A"/>
    <w:rsid w:val="007E2C2F"/>
    <w:rsid w:val="007E7A4A"/>
    <w:rsid w:val="007F3F30"/>
    <w:rsid w:val="00804258"/>
    <w:rsid w:val="008079E0"/>
    <w:rsid w:val="00826CDE"/>
    <w:rsid w:val="00830438"/>
    <w:rsid w:val="00834A91"/>
    <w:rsid w:val="008354C1"/>
    <w:rsid w:val="00840259"/>
    <w:rsid w:val="00846C30"/>
    <w:rsid w:val="00851908"/>
    <w:rsid w:val="00852335"/>
    <w:rsid w:val="008608AA"/>
    <w:rsid w:val="00861395"/>
    <w:rsid w:val="00867FB3"/>
    <w:rsid w:val="00890A2E"/>
    <w:rsid w:val="00890C0F"/>
    <w:rsid w:val="00893CDE"/>
    <w:rsid w:val="00896FB5"/>
    <w:rsid w:val="0089736C"/>
    <w:rsid w:val="008A46AE"/>
    <w:rsid w:val="008C70B5"/>
    <w:rsid w:val="008D672F"/>
    <w:rsid w:val="008D7461"/>
    <w:rsid w:val="008E404F"/>
    <w:rsid w:val="008F2119"/>
    <w:rsid w:val="008F32AB"/>
    <w:rsid w:val="008F76C3"/>
    <w:rsid w:val="00901FB4"/>
    <w:rsid w:val="00903536"/>
    <w:rsid w:val="009056A1"/>
    <w:rsid w:val="0090705F"/>
    <w:rsid w:val="0092585F"/>
    <w:rsid w:val="009316E9"/>
    <w:rsid w:val="00941350"/>
    <w:rsid w:val="0095097C"/>
    <w:rsid w:val="0095427E"/>
    <w:rsid w:val="009608AF"/>
    <w:rsid w:val="00972451"/>
    <w:rsid w:val="00982263"/>
    <w:rsid w:val="00983B01"/>
    <w:rsid w:val="00992E2F"/>
    <w:rsid w:val="009C0148"/>
    <w:rsid w:val="009D33F5"/>
    <w:rsid w:val="009D43A5"/>
    <w:rsid w:val="009D7795"/>
    <w:rsid w:val="009E72F4"/>
    <w:rsid w:val="009E7DBC"/>
    <w:rsid w:val="009F3BC7"/>
    <w:rsid w:val="009F4289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52DEE"/>
    <w:rsid w:val="00A54B1C"/>
    <w:rsid w:val="00A65DAD"/>
    <w:rsid w:val="00A705CF"/>
    <w:rsid w:val="00A7261A"/>
    <w:rsid w:val="00A75674"/>
    <w:rsid w:val="00A83299"/>
    <w:rsid w:val="00A83CA9"/>
    <w:rsid w:val="00A845E8"/>
    <w:rsid w:val="00A85779"/>
    <w:rsid w:val="00A942E1"/>
    <w:rsid w:val="00A96C8F"/>
    <w:rsid w:val="00AA0C84"/>
    <w:rsid w:val="00AB117E"/>
    <w:rsid w:val="00AB2633"/>
    <w:rsid w:val="00AB373A"/>
    <w:rsid w:val="00AB3EB1"/>
    <w:rsid w:val="00AD6125"/>
    <w:rsid w:val="00AE4752"/>
    <w:rsid w:val="00AE7AA6"/>
    <w:rsid w:val="00AF0D63"/>
    <w:rsid w:val="00AF1705"/>
    <w:rsid w:val="00AF1B18"/>
    <w:rsid w:val="00AF7B4A"/>
    <w:rsid w:val="00B0143B"/>
    <w:rsid w:val="00B12E9D"/>
    <w:rsid w:val="00B13B04"/>
    <w:rsid w:val="00B258F9"/>
    <w:rsid w:val="00B35888"/>
    <w:rsid w:val="00B35DC4"/>
    <w:rsid w:val="00B36942"/>
    <w:rsid w:val="00B467AF"/>
    <w:rsid w:val="00B46FE1"/>
    <w:rsid w:val="00B510B2"/>
    <w:rsid w:val="00B57F6C"/>
    <w:rsid w:val="00B60D8E"/>
    <w:rsid w:val="00B61E85"/>
    <w:rsid w:val="00B73D4F"/>
    <w:rsid w:val="00B81B40"/>
    <w:rsid w:val="00B87F80"/>
    <w:rsid w:val="00BB13B6"/>
    <w:rsid w:val="00BB2D5C"/>
    <w:rsid w:val="00BD468A"/>
    <w:rsid w:val="00BE168F"/>
    <w:rsid w:val="00BE733E"/>
    <w:rsid w:val="00BF485B"/>
    <w:rsid w:val="00C00BF0"/>
    <w:rsid w:val="00C055E9"/>
    <w:rsid w:val="00C057D3"/>
    <w:rsid w:val="00C146C9"/>
    <w:rsid w:val="00C15E8A"/>
    <w:rsid w:val="00C16E04"/>
    <w:rsid w:val="00C24254"/>
    <w:rsid w:val="00C34A46"/>
    <w:rsid w:val="00C41A4B"/>
    <w:rsid w:val="00C572D3"/>
    <w:rsid w:val="00C60354"/>
    <w:rsid w:val="00C606B6"/>
    <w:rsid w:val="00C63321"/>
    <w:rsid w:val="00C71413"/>
    <w:rsid w:val="00C74282"/>
    <w:rsid w:val="00C74BE8"/>
    <w:rsid w:val="00C761A3"/>
    <w:rsid w:val="00C81E13"/>
    <w:rsid w:val="00C874A6"/>
    <w:rsid w:val="00C9200C"/>
    <w:rsid w:val="00C94915"/>
    <w:rsid w:val="00C94F49"/>
    <w:rsid w:val="00CA273E"/>
    <w:rsid w:val="00CA3CEE"/>
    <w:rsid w:val="00CB0180"/>
    <w:rsid w:val="00CB7082"/>
    <w:rsid w:val="00CB7D03"/>
    <w:rsid w:val="00CD07A9"/>
    <w:rsid w:val="00CD39C3"/>
    <w:rsid w:val="00CD7E0E"/>
    <w:rsid w:val="00CF393C"/>
    <w:rsid w:val="00D0377B"/>
    <w:rsid w:val="00D05FD9"/>
    <w:rsid w:val="00D06051"/>
    <w:rsid w:val="00D10923"/>
    <w:rsid w:val="00D13518"/>
    <w:rsid w:val="00D23FC0"/>
    <w:rsid w:val="00D24F0C"/>
    <w:rsid w:val="00D3218D"/>
    <w:rsid w:val="00D375A7"/>
    <w:rsid w:val="00D42688"/>
    <w:rsid w:val="00D5434C"/>
    <w:rsid w:val="00D5451D"/>
    <w:rsid w:val="00D6036E"/>
    <w:rsid w:val="00D67D52"/>
    <w:rsid w:val="00D77ECD"/>
    <w:rsid w:val="00D81A9A"/>
    <w:rsid w:val="00D85C8D"/>
    <w:rsid w:val="00D85DD7"/>
    <w:rsid w:val="00D8625B"/>
    <w:rsid w:val="00D94A82"/>
    <w:rsid w:val="00D96339"/>
    <w:rsid w:val="00DA024E"/>
    <w:rsid w:val="00DA1E79"/>
    <w:rsid w:val="00DB0FB7"/>
    <w:rsid w:val="00DB55EF"/>
    <w:rsid w:val="00DC55AD"/>
    <w:rsid w:val="00DD4041"/>
    <w:rsid w:val="00DD6D02"/>
    <w:rsid w:val="00DE0202"/>
    <w:rsid w:val="00DE0B9C"/>
    <w:rsid w:val="00DE7F64"/>
    <w:rsid w:val="00DF37D9"/>
    <w:rsid w:val="00E00DFA"/>
    <w:rsid w:val="00E153AB"/>
    <w:rsid w:val="00E1643A"/>
    <w:rsid w:val="00E1781E"/>
    <w:rsid w:val="00E207B8"/>
    <w:rsid w:val="00E24834"/>
    <w:rsid w:val="00E2678D"/>
    <w:rsid w:val="00E30299"/>
    <w:rsid w:val="00E302BB"/>
    <w:rsid w:val="00E34277"/>
    <w:rsid w:val="00E3448F"/>
    <w:rsid w:val="00E344D0"/>
    <w:rsid w:val="00E42F34"/>
    <w:rsid w:val="00E441DE"/>
    <w:rsid w:val="00E544FD"/>
    <w:rsid w:val="00E56957"/>
    <w:rsid w:val="00E61F92"/>
    <w:rsid w:val="00E662B7"/>
    <w:rsid w:val="00E80625"/>
    <w:rsid w:val="00E91B65"/>
    <w:rsid w:val="00E92243"/>
    <w:rsid w:val="00E9259F"/>
    <w:rsid w:val="00E967C6"/>
    <w:rsid w:val="00EA7336"/>
    <w:rsid w:val="00EA7FDF"/>
    <w:rsid w:val="00EB60E3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20990"/>
    <w:rsid w:val="00F26245"/>
    <w:rsid w:val="00F26E83"/>
    <w:rsid w:val="00F31550"/>
    <w:rsid w:val="00F37575"/>
    <w:rsid w:val="00F4305B"/>
    <w:rsid w:val="00F43E7B"/>
    <w:rsid w:val="00F4452A"/>
    <w:rsid w:val="00F52891"/>
    <w:rsid w:val="00F679B9"/>
    <w:rsid w:val="00F71847"/>
    <w:rsid w:val="00F71D5B"/>
    <w:rsid w:val="00F83674"/>
    <w:rsid w:val="00F93A3F"/>
    <w:rsid w:val="00F94686"/>
    <w:rsid w:val="00F96B41"/>
    <w:rsid w:val="00F976CD"/>
    <w:rsid w:val="00FA23A0"/>
    <w:rsid w:val="00FA466D"/>
    <w:rsid w:val="00FC46CE"/>
    <w:rsid w:val="00FC6926"/>
    <w:rsid w:val="00FD0B77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-cpi.com/news/uk-collaboration-leads-the-way-on-revolutionising-oligonucleotide-medicines-manufactu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kub.machytka@uz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brt.i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977A7C-C485-43C7-A188-2C8FBB4D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1464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Machytka</cp:lastModifiedBy>
  <cp:revision>3</cp:revision>
  <dcterms:created xsi:type="dcterms:W3CDTF">2022-10-21T11:29:00Z</dcterms:created>
  <dcterms:modified xsi:type="dcterms:W3CDTF">2022-10-26T09:14:00Z</dcterms:modified>
</cp:coreProperties>
</file>