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B9A0E" w14:textId="58FE0A82" w:rsidR="005C2A77" w:rsidRPr="00271E1A" w:rsidRDefault="003F0FD8" w:rsidP="00DE0B9C">
      <w:pPr>
        <w:jc w:val="right"/>
        <w:rPr>
          <w:rFonts w:asciiTheme="minorHAnsi" w:hAnsiTheme="minorHAnsi" w:cstheme="minorHAnsi"/>
          <w:sz w:val="22"/>
          <w:szCs w:val="22"/>
        </w:rPr>
      </w:pPr>
      <w:r w:rsidRPr="00271E1A">
        <w:rPr>
          <w:rFonts w:asciiTheme="minorHAnsi" w:hAnsiTheme="minorHAnsi" w:cstheme="minorHAnsi"/>
          <w:sz w:val="22"/>
          <w:szCs w:val="22"/>
        </w:rPr>
        <w:t xml:space="preserve">V Praze dne </w:t>
      </w:r>
      <w:r w:rsidR="00A90AE3">
        <w:rPr>
          <w:rFonts w:asciiTheme="minorHAnsi" w:hAnsiTheme="minorHAnsi" w:cstheme="minorHAnsi"/>
          <w:sz w:val="22"/>
          <w:szCs w:val="22"/>
        </w:rPr>
        <w:t>24</w:t>
      </w:r>
      <w:r w:rsidR="00462660">
        <w:rPr>
          <w:rFonts w:asciiTheme="minorHAnsi" w:hAnsiTheme="minorHAnsi" w:cstheme="minorHAnsi"/>
          <w:sz w:val="22"/>
          <w:szCs w:val="22"/>
        </w:rPr>
        <w:t>.10</w:t>
      </w:r>
      <w:r w:rsidR="00D11227">
        <w:rPr>
          <w:rFonts w:asciiTheme="minorHAnsi" w:hAnsiTheme="minorHAnsi" w:cstheme="minorHAnsi"/>
          <w:sz w:val="22"/>
          <w:szCs w:val="22"/>
        </w:rPr>
        <w:t>.2023</w:t>
      </w:r>
    </w:p>
    <w:p w14:paraId="0DA1C77B" w14:textId="77777777" w:rsidR="005C2A77" w:rsidRPr="00271E1A" w:rsidRDefault="005C2A77" w:rsidP="005C2A7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EDEC24F" w14:textId="4F8D2875" w:rsidR="00206637" w:rsidRPr="006118D9" w:rsidRDefault="00C146C9" w:rsidP="00206637">
      <w:pPr>
        <w:jc w:val="center"/>
        <w:rPr>
          <w:rFonts w:asciiTheme="minorHAnsi" w:hAnsiTheme="minorHAnsi" w:cstheme="minorHAnsi"/>
          <w:b/>
          <w:bCs/>
          <w:caps/>
          <w:sz w:val="32"/>
          <w:szCs w:val="32"/>
          <w:u w:val="single"/>
        </w:rPr>
      </w:pPr>
      <w:r w:rsidRPr="006118D9">
        <w:rPr>
          <w:rFonts w:asciiTheme="minorHAnsi" w:hAnsiTheme="minorHAnsi" w:cstheme="minorHAnsi"/>
          <w:b/>
          <w:bCs/>
          <w:caps/>
          <w:sz w:val="32"/>
          <w:szCs w:val="32"/>
          <w:u w:val="single"/>
        </w:rPr>
        <w:t>STANOVISKO</w:t>
      </w:r>
      <w:r w:rsidR="005C2A77" w:rsidRPr="006118D9">
        <w:rPr>
          <w:rFonts w:asciiTheme="minorHAnsi" w:hAnsiTheme="minorHAnsi" w:cstheme="minorHAnsi"/>
          <w:b/>
          <w:bCs/>
          <w:caps/>
          <w:sz w:val="32"/>
          <w:szCs w:val="32"/>
          <w:u w:val="single"/>
        </w:rPr>
        <w:t xml:space="preserve"> UZS ČR</w:t>
      </w:r>
    </w:p>
    <w:p w14:paraId="7555E7CB" w14:textId="77777777" w:rsidR="00206637" w:rsidRPr="00271E1A" w:rsidRDefault="00206637" w:rsidP="0020663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AC7058D" w14:textId="0803CD40" w:rsidR="00271E1A" w:rsidRDefault="00C41A4B" w:rsidP="00A90AE3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90AE3">
        <w:rPr>
          <w:rFonts w:asciiTheme="minorHAnsi" w:hAnsiTheme="minorHAnsi" w:cstheme="minorHAnsi"/>
          <w:b/>
          <w:bCs/>
          <w:sz w:val="28"/>
          <w:szCs w:val="28"/>
        </w:rPr>
        <w:t>k</w:t>
      </w:r>
      <w:r w:rsidR="00462660" w:rsidRPr="00A90AE3">
        <w:rPr>
          <w:rFonts w:asciiTheme="minorHAnsi" w:hAnsiTheme="minorHAnsi" w:cstheme="minorHAnsi"/>
          <w:b/>
          <w:bCs/>
          <w:sz w:val="28"/>
          <w:szCs w:val="28"/>
        </w:rPr>
        <w:t> </w:t>
      </w:r>
      <w:r w:rsidR="00A90AE3" w:rsidRPr="00A90AE3">
        <w:rPr>
          <w:rFonts w:asciiTheme="minorHAnsi" w:hAnsiTheme="minorHAnsi" w:cstheme="minorHAnsi"/>
          <w:b/>
          <w:bCs/>
          <w:sz w:val="28"/>
          <w:szCs w:val="28"/>
        </w:rPr>
        <w:t>Dlouhodobý záměr vzdělávání a rozvoje vzdělávací soustavy České republiky 2023-2027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76"/>
        <w:gridCol w:w="1336"/>
        <w:gridCol w:w="3191"/>
        <w:gridCol w:w="3059"/>
      </w:tblGrid>
      <w:tr w:rsidR="007C5F78" w14:paraId="3FD31A5C" w14:textId="77777777" w:rsidTr="00F22C81">
        <w:trPr>
          <w:trHeight w:val="699"/>
        </w:trPr>
        <w:tc>
          <w:tcPr>
            <w:tcW w:w="1413" w:type="dxa"/>
          </w:tcPr>
          <w:p w14:paraId="4DAC6714" w14:textId="77777777" w:rsidR="007C5F78" w:rsidRDefault="007C5F78" w:rsidP="00F22C81">
            <w:r>
              <w:t>Místo v dokumentu</w:t>
            </w:r>
          </w:p>
        </w:tc>
        <w:tc>
          <w:tcPr>
            <w:tcW w:w="1276" w:type="dxa"/>
          </w:tcPr>
          <w:p w14:paraId="69FB44ED" w14:textId="77777777" w:rsidR="007C5F78" w:rsidRDefault="007C5F78" w:rsidP="00F22C81">
            <w:r>
              <w:t>Charakter připomínky</w:t>
            </w:r>
          </w:p>
        </w:tc>
        <w:tc>
          <w:tcPr>
            <w:tcW w:w="3260" w:type="dxa"/>
          </w:tcPr>
          <w:p w14:paraId="6790300E" w14:textId="77777777" w:rsidR="007C5F78" w:rsidRDefault="007C5F78" w:rsidP="00F22C81">
            <w:r>
              <w:t>Text v dokumentu</w:t>
            </w:r>
          </w:p>
        </w:tc>
        <w:tc>
          <w:tcPr>
            <w:tcW w:w="3113" w:type="dxa"/>
          </w:tcPr>
          <w:p w14:paraId="219081DF" w14:textId="77777777" w:rsidR="007C5F78" w:rsidRDefault="007C5F78" w:rsidP="00F22C81">
            <w:r>
              <w:t>Návrh změny</w:t>
            </w:r>
          </w:p>
        </w:tc>
      </w:tr>
      <w:tr w:rsidR="007C5F78" w14:paraId="14E8412F" w14:textId="77777777" w:rsidTr="00F22C81">
        <w:tc>
          <w:tcPr>
            <w:tcW w:w="1413" w:type="dxa"/>
          </w:tcPr>
          <w:p w14:paraId="20A706CD" w14:textId="77777777" w:rsidR="007C5F78" w:rsidRDefault="007C5F78" w:rsidP="00F22C81">
            <w:r>
              <w:t>s. 21</w:t>
            </w:r>
          </w:p>
        </w:tc>
        <w:tc>
          <w:tcPr>
            <w:tcW w:w="1276" w:type="dxa"/>
          </w:tcPr>
          <w:p w14:paraId="42BCB5F9" w14:textId="77777777" w:rsidR="007C5F78" w:rsidRDefault="007C5F78" w:rsidP="00F22C81">
            <w:r>
              <w:t>zásadní</w:t>
            </w:r>
          </w:p>
        </w:tc>
        <w:tc>
          <w:tcPr>
            <w:tcW w:w="3260" w:type="dxa"/>
          </w:tcPr>
          <w:p w14:paraId="5C9DE094" w14:textId="77777777" w:rsidR="007C5F78" w:rsidRPr="00887ED1" w:rsidRDefault="007C5F78" w:rsidP="00F22C81">
            <w:pPr>
              <w:rPr>
                <w:highlight w:val="yellow"/>
              </w:rPr>
            </w:pPr>
            <w:r w:rsidRPr="00887ED1">
              <w:rPr>
                <w:highlight w:val="yellow"/>
              </w:rPr>
              <w:t>MŠMT bude otevřeno úvahám o prodloužení povinné školní docházky coby nástroje ke snižování nerovností ve vzdělávání tak, aby část povinné školní docházky byla uskutečňována též na střední škole. V souvislosti s tím bude zvyšován důraz na roli středních škol ve všeobecném vzdělávání, a to zejména z hlediska zabezpečení dostatečné úrovně základních gramotnost a kompetencí každého žáka.</w:t>
            </w:r>
          </w:p>
        </w:tc>
        <w:tc>
          <w:tcPr>
            <w:tcW w:w="3113" w:type="dxa"/>
          </w:tcPr>
          <w:p w14:paraId="2FBD86C7" w14:textId="77777777" w:rsidR="007C5F78" w:rsidRDefault="007C5F78" w:rsidP="00F22C81">
            <w:r w:rsidRPr="00735C8B">
              <w:t>K úvahám o prodloužení povinné školní docházky je potřeba přidat analýzy, výzkum, širokou odbornou i veřejnou diskusi. Teprve na základě celospolečenského koncensu lze připravovat změny.</w:t>
            </w:r>
          </w:p>
        </w:tc>
      </w:tr>
      <w:tr w:rsidR="007C5F78" w14:paraId="12BF56A4" w14:textId="77777777" w:rsidTr="00F22C81">
        <w:tc>
          <w:tcPr>
            <w:tcW w:w="1413" w:type="dxa"/>
          </w:tcPr>
          <w:p w14:paraId="2D196717" w14:textId="77777777" w:rsidR="007C5F78" w:rsidRDefault="007C5F78" w:rsidP="00F22C81">
            <w:r>
              <w:t>s. 30</w:t>
            </w:r>
          </w:p>
        </w:tc>
        <w:tc>
          <w:tcPr>
            <w:tcW w:w="1276" w:type="dxa"/>
          </w:tcPr>
          <w:p w14:paraId="4294ADFA" w14:textId="77777777" w:rsidR="007C5F78" w:rsidRDefault="007C5F78" w:rsidP="00F22C81">
            <w:r>
              <w:t>zásadní</w:t>
            </w:r>
          </w:p>
        </w:tc>
        <w:tc>
          <w:tcPr>
            <w:tcW w:w="3260" w:type="dxa"/>
          </w:tcPr>
          <w:p w14:paraId="5CE33ABE" w14:textId="77777777" w:rsidR="007C5F78" w:rsidRDefault="007C5F78" w:rsidP="00F22C81">
            <w:r w:rsidRPr="00887ED1">
              <w:rPr>
                <w:highlight w:val="yellow"/>
              </w:rPr>
              <w:t>Strategické kroky MŠMT 1) Vytvořit elektronický systém přijímacího řízení</w:t>
            </w:r>
          </w:p>
        </w:tc>
        <w:tc>
          <w:tcPr>
            <w:tcW w:w="3113" w:type="dxa"/>
          </w:tcPr>
          <w:p w14:paraId="14516C95" w14:textId="77777777" w:rsidR="007C5F78" w:rsidRDefault="007C5F78" w:rsidP="00F22C81">
            <w:r w:rsidRPr="00787538">
              <w:t>velké riziko – nutno udělat kvalitní a bezpečný systém</w:t>
            </w:r>
          </w:p>
        </w:tc>
      </w:tr>
      <w:tr w:rsidR="007C5F78" w14:paraId="298C399E" w14:textId="77777777" w:rsidTr="00F22C81">
        <w:tc>
          <w:tcPr>
            <w:tcW w:w="1413" w:type="dxa"/>
          </w:tcPr>
          <w:p w14:paraId="516B8222" w14:textId="77777777" w:rsidR="007C5F78" w:rsidRDefault="007C5F78" w:rsidP="00F22C81">
            <w:r>
              <w:t>s. 34</w:t>
            </w:r>
          </w:p>
        </w:tc>
        <w:tc>
          <w:tcPr>
            <w:tcW w:w="1276" w:type="dxa"/>
          </w:tcPr>
          <w:p w14:paraId="246C20CE" w14:textId="77777777" w:rsidR="007C5F78" w:rsidRDefault="007C5F78" w:rsidP="00F22C81">
            <w:r>
              <w:t>zásadní</w:t>
            </w:r>
          </w:p>
        </w:tc>
        <w:tc>
          <w:tcPr>
            <w:tcW w:w="3260" w:type="dxa"/>
          </w:tcPr>
          <w:p w14:paraId="63333921" w14:textId="77777777" w:rsidR="007C5F78" w:rsidRPr="002A3014" w:rsidRDefault="007C5F78" w:rsidP="00F22C81">
            <w:pPr>
              <w:rPr>
                <w:highlight w:val="yellow"/>
              </w:rPr>
            </w:pPr>
            <w:r w:rsidRPr="002A3014">
              <w:rPr>
                <w:highlight w:val="yellow"/>
              </w:rPr>
              <w:t>Klíčová aktivita A.1.1 Podpora implementace RVP PV do škol,</w:t>
            </w:r>
            <w:r w:rsidRPr="002A3014">
              <w:rPr>
                <w:rFonts w:cstheme="minorHAnsi"/>
                <w:highlight w:val="yellow"/>
              </w:rPr>
              <w:t xml:space="preserve"> Dobrovolné zapojení mateřských škol do realizace vzdělávání podle aktualizovaného RVP PV bude možné od 1. 9. 2024. Ověření práce s inovovaným kurikulem proběhne na nejméně 500 mateřských školách a následně bude realizována i úprava metodické podpory s ohledem na potřeby praxe. Povinné zapojení mateřských škol do realizace vzdělávání podle aktualizovaného RVP PV pak bude od 1. 9. 2025.</w:t>
            </w:r>
          </w:p>
        </w:tc>
        <w:tc>
          <w:tcPr>
            <w:tcW w:w="3113" w:type="dxa"/>
          </w:tcPr>
          <w:p w14:paraId="3F238CF7" w14:textId="77777777" w:rsidR="007C5F78" w:rsidRPr="00787538" w:rsidRDefault="007C5F78" w:rsidP="00F22C8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87538">
              <w:rPr>
                <w:rFonts w:cstheme="minorHAnsi"/>
              </w:rPr>
              <w:t>Toto není časově v souladu s</w:t>
            </w:r>
            <w:r>
              <w:rPr>
                <w:rFonts w:cstheme="minorHAnsi"/>
              </w:rPr>
              <w:t> </w:t>
            </w:r>
            <w:r w:rsidRPr="00787538">
              <w:rPr>
                <w:rFonts w:cstheme="minorHAnsi"/>
              </w:rPr>
              <w:t>postupem revize RVP ZV, na který má RVP PV navazovat. Nutno minimálně o rok posunout.</w:t>
            </w:r>
          </w:p>
          <w:p w14:paraId="51E3C1BC" w14:textId="77777777" w:rsidR="007C5F78" w:rsidRDefault="007C5F78" w:rsidP="00F22C81"/>
        </w:tc>
      </w:tr>
      <w:tr w:rsidR="007C5F78" w14:paraId="5A869857" w14:textId="77777777" w:rsidTr="00F22C81">
        <w:tc>
          <w:tcPr>
            <w:tcW w:w="1413" w:type="dxa"/>
          </w:tcPr>
          <w:p w14:paraId="038B2098" w14:textId="77777777" w:rsidR="007C5F78" w:rsidRDefault="007C5F78" w:rsidP="00F22C81">
            <w:r>
              <w:lastRenderedPageBreak/>
              <w:t>s. 36</w:t>
            </w:r>
          </w:p>
        </w:tc>
        <w:tc>
          <w:tcPr>
            <w:tcW w:w="1276" w:type="dxa"/>
          </w:tcPr>
          <w:p w14:paraId="0B6E118F" w14:textId="77777777" w:rsidR="007C5F78" w:rsidRDefault="007C5F78" w:rsidP="00F22C81">
            <w:r>
              <w:t>zásadní</w:t>
            </w:r>
          </w:p>
        </w:tc>
        <w:tc>
          <w:tcPr>
            <w:tcW w:w="3260" w:type="dxa"/>
          </w:tcPr>
          <w:p w14:paraId="18A4401E" w14:textId="77777777" w:rsidR="007C5F78" w:rsidRDefault="007C5F78" w:rsidP="00F22C81">
            <w:r w:rsidRPr="002A3014">
              <w:rPr>
                <w:highlight w:val="yellow"/>
              </w:rPr>
              <w:t>A.3 Eliminace odkladů povinné školní docházky str. 33, Cílem</w:t>
            </w:r>
            <w:r w:rsidRPr="00787538">
              <w:t xml:space="preserve"> </w:t>
            </w:r>
            <w:r w:rsidRPr="002A3014">
              <w:rPr>
                <w:highlight w:val="yellow"/>
              </w:rPr>
              <w:t>opatření je právě tento negativní trend otočit a eliminovat odklady povinné školní docházky dětí v ČR</w:t>
            </w:r>
          </w:p>
        </w:tc>
        <w:tc>
          <w:tcPr>
            <w:tcW w:w="3113" w:type="dxa"/>
          </w:tcPr>
          <w:p w14:paraId="703C75F8" w14:textId="77777777" w:rsidR="007C5F78" w:rsidRDefault="007C5F78" w:rsidP="00F22C81">
            <w:r w:rsidRPr="00735C8B">
              <w:t>Eliminovat odklady povinné školní docházky nelze bez odpovídající revize RVP ZV a PV tak, aby ve vzdělávání docházelo skutečně k návaznosti. V</w:t>
            </w:r>
            <w:r>
              <w:t> </w:t>
            </w:r>
            <w:r w:rsidRPr="00735C8B">
              <w:t>souvislosti s vývojovými fázemi dítěte není dobré dávat větší důraz na to, aby předškolní vzdělávání připravovalo děti na nástup do</w:t>
            </w:r>
            <w:r>
              <w:t xml:space="preserve"> ZV</w:t>
            </w:r>
            <w:r w:rsidRPr="00735C8B">
              <w:t xml:space="preserve">, ale aby se </w:t>
            </w:r>
            <w:r>
              <w:t>ZV</w:t>
            </w:r>
            <w:r w:rsidRPr="00735C8B">
              <w:t xml:space="preserve"> lépe připravilo na nástup dětí z</w:t>
            </w:r>
            <w:r>
              <w:t> </w:t>
            </w:r>
            <w:r w:rsidRPr="00735C8B">
              <w:t>předškolního vzdělávání.</w:t>
            </w:r>
          </w:p>
        </w:tc>
      </w:tr>
      <w:tr w:rsidR="007C5F78" w14:paraId="283ABD8E" w14:textId="77777777" w:rsidTr="00F22C81">
        <w:tc>
          <w:tcPr>
            <w:tcW w:w="1413" w:type="dxa"/>
          </w:tcPr>
          <w:p w14:paraId="788F1526" w14:textId="77777777" w:rsidR="007C5F78" w:rsidRDefault="007C5F78" w:rsidP="00F22C81">
            <w:r>
              <w:t>s. 36</w:t>
            </w:r>
          </w:p>
        </w:tc>
        <w:tc>
          <w:tcPr>
            <w:tcW w:w="1276" w:type="dxa"/>
          </w:tcPr>
          <w:p w14:paraId="242B40F4" w14:textId="77777777" w:rsidR="007C5F78" w:rsidRDefault="007C5F78" w:rsidP="00F22C81">
            <w:r>
              <w:t>zásadní</w:t>
            </w:r>
          </w:p>
        </w:tc>
        <w:tc>
          <w:tcPr>
            <w:tcW w:w="3260" w:type="dxa"/>
          </w:tcPr>
          <w:p w14:paraId="2A6784B8" w14:textId="77777777" w:rsidR="007C5F78" w:rsidRDefault="007C5F78" w:rsidP="00F22C81">
            <w:r w:rsidRPr="002A3014">
              <w:rPr>
                <w:highlight w:val="yellow"/>
              </w:rPr>
              <w:t>Bude probíhat pilotní ověření snížení počtu odkladů ve vybraných krajích, a to se zapojením všech aktérů – pedagogicko-psychologických poraden, zákonných zástupců, mateřských a základních škol, zřizovatelů a dalších.</w:t>
            </w:r>
          </w:p>
        </w:tc>
        <w:tc>
          <w:tcPr>
            <w:tcW w:w="3113" w:type="dxa"/>
          </w:tcPr>
          <w:p w14:paraId="605B4389" w14:textId="77777777" w:rsidR="007C5F78" w:rsidRPr="00787538" w:rsidRDefault="007C5F78" w:rsidP="00F22C81">
            <w:r w:rsidRPr="00735C8B">
              <w:rPr>
                <w:rFonts w:cstheme="minorHAnsi"/>
              </w:rPr>
              <w:t>Toto není časově v souladu s</w:t>
            </w:r>
            <w:r>
              <w:rPr>
                <w:rFonts w:cstheme="minorHAnsi"/>
              </w:rPr>
              <w:t> </w:t>
            </w:r>
            <w:r w:rsidRPr="00735C8B">
              <w:rPr>
                <w:rFonts w:cstheme="minorHAnsi"/>
              </w:rPr>
              <w:t>postupem revize RVP ZV, na který má RVP PV navazovat. Nutno minimálně o rok posunout. Eliminovat odklady povinné školní docházky nelze bez odpovídající revize RVP ZV a</w:t>
            </w:r>
            <w:r>
              <w:rPr>
                <w:rFonts w:cstheme="minorHAnsi"/>
              </w:rPr>
              <w:t> </w:t>
            </w:r>
            <w:r w:rsidRPr="00735C8B">
              <w:rPr>
                <w:rFonts w:cstheme="minorHAnsi"/>
              </w:rPr>
              <w:t>PV, aby ve vzdělávání docházelo skutečně k</w:t>
            </w:r>
            <w:r>
              <w:rPr>
                <w:rFonts w:cstheme="minorHAnsi"/>
              </w:rPr>
              <w:t> </w:t>
            </w:r>
            <w:r w:rsidRPr="00735C8B">
              <w:rPr>
                <w:rFonts w:cstheme="minorHAnsi"/>
              </w:rPr>
              <w:t>návaznosti. V souvislosti s</w:t>
            </w:r>
            <w:r>
              <w:rPr>
                <w:rFonts w:cstheme="minorHAnsi"/>
              </w:rPr>
              <w:t> </w:t>
            </w:r>
            <w:r w:rsidRPr="00735C8B">
              <w:rPr>
                <w:rFonts w:cstheme="minorHAnsi"/>
              </w:rPr>
              <w:t>vývojovými fázemi dítěte není dobré dávat větší důraz na to, aby předškolní vzdělávání připravovalo děti na nástup do základního vzdělávání, ale aby se základní vzdělávání lépe připravilo na nástup dětí z</w:t>
            </w:r>
            <w:r>
              <w:rPr>
                <w:rFonts w:cstheme="minorHAnsi"/>
              </w:rPr>
              <w:t> </w:t>
            </w:r>
            <w:r w:rsidRPr="00735C8B">
              <w:rPr>
                <w:rFonts w:cstheme="minorHAnsi"/>
              </w:rPr>
              <w:t>předškolního vzdělávání.</w:t>
            </w:r>
          </w:p>
        </w:tc>
      </w:tr>
      <w:tr w:rsidR="007C5F78" w14:paraId="69F9F703" w14:textId="77777777" w:rsidTr="00F22C81">
        <w:tc>
          <w:tcPr>
            <w:tcW w:w="1413" w:type="dxa"/>
          </w:tcPr>
          <w:p w14:paraId="7086C1CE" w14:textId="77777777" w:rsidR="007C5F78" w:rsidRDefault="007C5F78" w:rsidP="00F22C81">
            <w:r>
              <w:t>s. 45</w:t>
            </w:r>
          </w:p>
        </w:tc>
        <w:tc>
          <w:tcPr>
            <w:tcW w:w="1276" w:type="dxa"/>
          </w:tcPr>
          <w:p w14:paraId="7CC5F823" w14:textId="77777777" w:rsidR="007C5F78" w:rsidRDefault="007C5F78" w:rsidP="00F22C81">
            <w:r>
              <w:t>zásadní</w:t>
            </w:r>
          </w:p>
        </w:tc>
        <w:tc>
          <w:tcPr>
            <w:tcW w:w="3260" w:type="dxa"/>
          </w:tcPr>
          <w:p w14:paraId="51CD641B" w14:textId="77777777" w:rsidR="007C5F78" w:rsidRDefault="007C5F78" w:rsidP="00F22C81">
            <w:r w:rsidRPr="00787538">
              <w:rPr>
                <w:rFonts w:cstheme="minorHAnsi"/>
              </w:rPr>
              <w:t>Opatření B.3 Hodnocení ve vzdělávání</w:t>
            </w:r>
            <w:r>
              <w:rPr>
                <w:rFonts w:cstheme="minorHAnsi"/>
              </w:rPr>
              <w:t>.</w:t>
            </w:r>
            <w:r w:rsidRPr="00787538">
              <w:rPr>
                <w:rFonts w:cstheme="minorHAnsi"/>
                <w:b/>
                <w:bCs/>
              </w:rPr>
              <w:t xml:space="preserve"> </w:t>
            </w:r>
            <w:r w:rsidRPr="00174DDD">
              <w:rPr>
                <w:rFonts w:cstheme="minorHAnsi"/>
              </w:rPr>
              <w:t>Vyhodnocování naplňování cílů vzdělávání včetně budování a rozvoje klíčových kompetencí a základních i</w:t>
            </w:r>
            <w:r>
              <w:rPr>
                <w:rFonts w:cstheme="minorHAnsi"/>
              </w:rPr>
              <w:t> </w:t>
            </w:r>
            <w:r w:rsidRPr="00174DDD">
              <w:rPr>
                <w:rFonts w:cstheme="minorHAnsi"/>
              </w:rPr>
              <w:t xml:space="preserve">oborových gramotností bude probíhat především v tzv. uzlových bodech a bude mít jak podobu </w:t>
            </w:r>
            <w:proofErr w:type="spellStart"/>
            <w:r w:rsidRPr="00174DDD">
              <w:rPr>
                <w:rFonts w:cstheme="minorHAnsi"/>
              </w:rPr>
              <w:t>autoevaluačního</w:t>
            </w:r>
            <w:proofErr w:type="spellEnd"/>
            <w:r w:rsidRPr="00174DDD">
              <w:rPr>
                <w:rFonts w:cstheme="minorHAnsi"/>
              </w:rPr>
              <w:t xml:space="preserve"> reflektivního systému škol v 3., 5. a 9. </w:t>
            </w:r>
            <w:r w:rsidRPr="00174DDD">
              <w:rPr>
                <w:rFonts w:cstheme="minorHAnsi"/>
              </w:rPr>
              <w:lastRenderedPageBreak/>
              <w:t xml:space="preserve">ročníku a odpovídajících ročnících víceletých gymnázií, tak státního systému ověřování v 5. </w:t>
            </w:r>
            <w:proofErr w:type="gramStart"/>
            <w:r w:rsidRPr="00174DDD">
              <w:rPr>
                <w:rFonts w:cstheme="minorHAnsi"/>
              </w:rPr>
              <w:t>a</w:t>
            </w:r>
            <w:r>
              <w:rPr>
                <w:rFonts w:cstheme="minorHAnsi"/>
              </w:rPr>
              <w:t> </w:t>
            </w:r>
            <w:r w:rsidRPr="00174DDD">
              <w:rPr>
                <w:rFonts w:cstheme="minorHAnsi"/>
              </w:rPr>
              <w:t xml:space="preserve"> 9.</w:t>
            </w:r>
            <w:proofErr w:type="gramEnd"/>
            <w:r w:rsidRPr="00174DDD">
              <w:rPr>
                <w:rFonts w:cstheme="minorHAnsi"/>
              </w:rPr>
              <w:t xml:space="preserve"> ročníku.</w:t>
            </w:r>
          </w:p>
        </w:tc>
        <w:tc>
          <w:tcPr>
            <w:tcW w:w="3113" w:type="dxa"/>
          </w:tcPr>
          <w:p w14:paraId="4F86305B" w14:textId="77777777" w:rsidR="007C5F78" w:rsidRDefault="007C5F78" w:rsidP="00F22C81">
            <w:r w:rsidRPr="00787538">
              <w:lastRenderedPageBreak/>
              <w:t>Přesné uzlové body by zde neměly být, protože jejich stanov</w:t>
            </w:r>
            <w:r>
              <w:t>e</w:t>
            </w:r>
            <w:r w:rsidRPr="00787538">
              <w:t xml:space="preserve">ní je součástí revizí RVP ZV, které jsou teprve v procesu tvorby. Revidované RVP ZV, má být pro všechny školy, takto to ale neodpovídá např. </w:t>
            </w:r>
            <w:proofErr w:type="spellStart"/>
            <w:r w:rsidRPr="00787538">
              <w:t>montessori</w:t>
            </w:r>
            <w:proofErr w:type="spellEnd"/>
            <w:r w:rsidRPr="00787538">
              <w:t xml:space="preserve"> pedagogice a dalším</w:t>
            </w:r>
            <w:r>
              <w:t>.</w:t>
            </w:r>
          </w:p>
        </w:tc>
      </w:tr>
      <w:tr w:rsidR="007C5F78" w14:paraId="7B6280FB" w14:textId="77777777" w:rsidTr="00F22C81">
        <w:tc>
          <w:tcPr>
            <w:tcW w:w="1413" w:type="dxa"/>
          </w:tcPr>
          <w:p w14:paraId="358613C5" w14:textId="77777777" w:rsidR="007C5F78" w:rsidRDefault="007C5F78" w:rsidP="00F22C81">
            <w:r>
              <w:t>s. 47</w:t>
            </w:r>
          </w:p>
        </w:tc>
        <w:tc>
          <w:tcPr>
            <w:tcW w:w="1276" w:type="dxa"/>
          </w:tcPr>
          <w:p w14:paraId="73B132B2" w14:textId="77777777" w:rsidR="007C5F78" w:rsidRDefault="007C5F78" w:rsidP="00F22C81">
            <w:r>
              <w:t>zásadní</w:t>
            </w:r>
          </w:p>
        </w:tc>
        <w:tc>
          <w:tcPr>
            <w:tcW w:w="3260" w:type="dxa"/>
          </w:tcPr>
          <w:p w14:paraId="6FF2D777" w14:textId="77777777" w:rsidR="007C5F78" w:rsidRPr="005F7417" w:rsidRDefault="007C5F78" w:rsidP="00F22C81">
            <w:pPr>
              <w:rPr>
                <w:rFonts w:cstheme="minorHAnsi"/>
              </w:rPr>
            </w:pPr>
            <w:r w:rsidRPr="005F7417">
              <w:rPr>
                <w:rFonts w:cstheme="minorHAnsi"/>
              </w:rPr>
              <w:t>Klíčová aktivita B.3.3 Hodnocení výsledků vzdělávání v uzlových bodech</w:t>
            </w:r>
          </w:p>
          <w:p w14:paraId="5240D35C" w14:textId="77777777" w:rsidR="007C5F78" w:rsidRPr="00787538" w:rsidRDefault="007C5F78" w:rsidP="00F22C81">
            <w:pPr>
              <w:rPr>
                <w:rFonts w:cstheme="minorHAnsi"/>
              </w:rPr>
            </w:pPr>
            <w:r w:rsidRPr="005F7417">
              <w:rPr>
                <w:rFonts w:cstheme="minorHAnsi"/>
              </w:rPr>
              <w:t>Pro hodnocení vzdělávacího procesu budou vytvořeny a</w:t>
            </w:r>
            <w:r>
              <w:rPr>
                <w:rFonts w:cstheme="minorHAnsi"/>
              </w:rPr>
              <w:t> </w:t>
            </w:r>
            <w:r w:rsidRPr="005F7417">
              <w:rPr>
                <w:rFonts w:cstheme="minorHAnsi"/>
              </w:rPr>
              <w:t xml:space="preserve">postupně zdokonalovány nástroje pro </w:t>
            </w:r>
            <w:proofErr w:type="spellStart"/>
            <w:r w:rsidRPr="005F7417">
              <w:rPr>
                <w:rFonts w:cstheme="minorHAnsi"/>
              </w:rPr>
              <w:t>autoevaluační</w:t>
            </w:r>
            <w:proofErr w:type="spellEnd"/>
            <w:r w:rsidRPr="005F7417">
              <w:rPr>
                <w:rFonts w:cstheme="minorHAnsi"/>
              </w:rPr>
              <w:t xml:space="preserve"> reflektivní systém ve 3., 5. a 9. ročníku a pro systémové ověřování v 5. a 9. ročníku a odpovídajících ročnících víceletých gymnázií Pro hodnocení vzdělávacího procesu budou </w:t>
            </w:r>
            <w:proofErr w:type="gramStart"/>
            <w:r w:rsidRPr="005F7417">
              <w:rPr>
                <w:rFonts w:cstheme="minorHAnsi"/>
              </w:rPr>
              <w:t>vytvořeny  a</w:t>
            </w:r>
            <w:proofErr w:type="gramEnd"/>
            <w:r w:rsidRPr="005F7417">
              <w:rPr>
                <w:rFonts w:cstheme="minorHAnsi"/>
              </w:rPr>
              <w:t xml:space="preserve"> postupně zdokonalovány nástroje pro </w:t>
            </w:r>
            <w:proofErr w:type="spellStart"/>
            <w:r w:rsidRPr="005F7417">
              <w:rPr>
                <w:rFonts w:cstheme="minorHAnsi"/>
              </w:rPr>
              <w:t>autoevaluační</w:t>
            </w:r>
            <w:proofErr w:type="spellEnd"/>
            <w:r w:rsidRPr="005F7417">
              <w:rPr>
                <w:rFonts w:cstheme="minorHAnsi"/>
              </w:rPr>
              <w:t xml:space="preserve"> reflektivní systém a pro systémové ověřování.</w:t>
            </w:r>
          </w:p>
        </w:tc>
        <w:tc>
          <w:tcPr>
            <w:tcW w:w="3113" w:type="dxa"/>
          </w:tcPr>
          <w:p w14:paraId="1BF95640" w14:textId="77777777" w:rsidR="007C5F78" w:rsidRPr="005F7417" w:rsidRDefault="007C5F78" w:rsidP="00F22C81">
            <w:pPr>
              <w:rPr>
                <w:rFonts w:cstheme="minorHAnsi"/>
              </w:rPr>
            </w:pPr>
            <w:r w:rsidRPr="005F7417">
              <w:rPr>
                <w:rFonts w:cstheme="minorHAnsi"/>
              </w:rPr>
              <w:t xml:space="preserve">Přesné uzlové body by zde neměly být, protože jejich stanovaní je součástí revizí RVP ZV, které jsou teprve v procesu tvorby. Revidované RVP ZV, má být pro všechny školy, Takto to ale neodpovídá např. </w:t>
            </w:r>
            <w:proofErr w:type="spellStart"/>
            <w:r w:rsidRPr="005F7417">
              <w:rPr>
                <w:rFonts w:cstheme="minorHAnsi"/>
              </w:rPr>
              <w:t>montessori</w:t>
            </w:r>
            <w:proofErr w:type="spellEnd"/>
            <w:r w:rsidRPr="005F7417">
              <w:rPr>
                <w:rFonts w:cstheme="minorHAnsi"/>
              </w:rPr>
              <w:t xml:space="preserve"> pedagogice a dalším.</w:t>
            </w:r>
          </w:p>
          <w:p w14:paraId="476EA952" w14:textId="77777777" w:rsidR="007C5F78" w:rsidRPr="00787538" w:rsidRDefault="007C5F78" w:rsidP="00F22C81"/>
        </w:tc>
      </w:tr>
      <w:tr w:rsidR="007C5F78" w14:paraId="599A0599" w14:textId="77777777" w:rsidTr="00F22C81">
        <w:tc>
          <w:tcPr>
            <w:tcW w:w="1413" w:type="dxa"/>
          </w:tcPr>
          <w:p w14:paraId="0CFB275B" w14:textId="77777777" w:rsidR="007C5F78" w:rsidRDefault="007C5F78" w:rsidP="00F22C81">
            <w:r>
              <w:t>s. 53</w:t>
            </w:r>
          </w:p>
        </w:tc>
        <w:tc>
          <w:tcPr>
            <w:tcW w:w="1276" w:type="dxa"/>
          </w:tcPr>
          <w:p w14:paraId="1A217F70" w14:textId="77777777" w:rsidR="007C5F78" w:rsidRDefault="007C5F78" w:rsidP="00F22C81">
            <w:r>
              <w:t>připomínka</w:t>
            </w:r>
          </w:p>
        </w:tc>
        <w:tc>
          <w:tcPr>
            <w:tcW w:w="3260" w:type="dxa"/>
          </w:tcPr>
          <w:p w14:paraId="1222BA11" w14:textId="77777777" w:rsidR="007C5F78" w:rsidRPr="005F7417" w:rsidRDefault="007C5F78" w:rsidP="00F22C81">
            <w:pPr>
              <w:rPr>
                <w:rFonts w:cstheme="minorHAnsi"/>
              </w:rPr>
            </w:pPr>
            <w:r w:rsidRPr="005F7417">
              <w:rPr>
                <w:rFonts w:cstheme="minorHAnsi"/>
              </w:rPr>
              <w:t xml:space="preserve">Klíčová aktivita C.1.1 Optimalizace počtu oborů vzdělání středních škol </w:t>
            </w:r>
          </w:p>
        </w:tc>
        <w:tc>
          <w:tcPr>
            <w:tcW w:w="3113" w:type="dxa"/>
          </w:tcPr>
          <w:p w14:paraId="5948D180" w14:textId="77777777" w:rsidR="007C5F78" w:rsidRPr="005F7417" w:rsidRDefault="007C5F78" w:rsidP="00F22C81">
            <w:r w:rsidRPr="00735C8B">
              <w:rPr>
                <w:rFonts w:cstheme="minorHAnsi"/>
              </w:rPr>
              <w:t>Nová struktura oborové soustavy středního vzdělávání, zde předpokládáme, že nedochází k vytvoření odlišné, tedy „nové“ struktury, nýbrž k</w:t>
            </w:r>
            <w:r>
              <w:rPr>
                <w:rFonts w:cstheme="minorHAnsi"/>
              </w:rPr>
              <w:t> </w:t>
            </w:r>
            <w:r w:rsidRPr="00735C8B">
              <w:rPr>
                <w:rFonts w:cstheme="minorHAnsi"/>
              </w:rPr>
              <w:t xml:space="preserve">její obměně na základě aktuálních potřeb, </w:t>
            </w:r>
            <w:proofErr w:type="gramStart"/>
            <w:r w:rsidRPr="00735C8B">
              <w:rPr>
                <w:rFonts w:cstheme="minorHAnsi"/>
              </w:rPr>
              <w:t>neuváděli  bychom</w:t>
            </w:r>
            <w:proofErr w:type="gramEnd"/>
            <w:r w:rsidRPr="00735C8B">
              <w:rPr>
                <w:rFonts w:cstheme="minorHAnsi"/>
              </w:rPr>
              <w:t xml:space="preserve"> ani výraz „optimalizace“ nýbrž zefektivnění.</w:t>
            </w:r>
          </w:p>
        </w:tc>
      </w:tr>
      <w:tr w:rsidR="007C5F78" w14:paraId="17E0B13F" w14:textId="77777777" w:rsidTr="00F22C81">
        <w:tc>
          <w:tcPr>
            <w:tcW w:w="1413" w:type="dxa"/>
          </w:tcPr>
          <w:p w14:paraId="04D5A038" w14:textId="77777777" w:rsidR="007C5F78" w:rsidRDefault="007C5F78" w:rsidP="00F22C81">
            <w:r>
              <w:t>s. 503</w:t>
            </w:r>
          </w:p>
        </w:tc>
        <w:tc>
          <w:tcPr>
            <w:tcW w:w="1276" w:type="dxa"/>
          </w:tcPr>
          <w:p w14:paraId="12702B76" w14:textId="77777777" w:rsidR="007C5F78" w:rsidRDefault="007C5F78" w:rsidP="00F22C81">
            <w:r>
              <w:t xml:space="preserve">zásadní </w:t>
            </w:r>
          </w:p>
        </w:tc>
        <w:tc>
          <w:tcPr>
            <w:tcW w:w="3260" w:type="dxa"/>
          </w:tcPr>
          <w:p w14:paraId="743FFA4C" w14:textId="77777777" w:rsidR="007C5F78" w:rsidRPr="005F7417" w:rsidRDefault="007C5F78" w:rsidP="00F22C81">
            <w:pPr>
              <w:rPr>
                <w:rFonts w:cstheme="minorHAnsi"/>
              </w:rPr>
            </w:pPr>
            <w:r w:rsidRPr="005F7417">
              <w:rPr>
                <w:rFonts w:cstheme="minorHAnsi"/>
              </w:rPr>
              <w:t>Klíčová aktivita C.1.2 Zavedení pravidel pro tvorbu zaměření oborů vzdělání do oborové soustavy</w:t>
            </w:r>
          </w:p>
        </w:tc>
        <w:tc>
          <w:tcPr>
            <w:tcW w:w="3113" w:type="dxa"/>
          </w:tcPr>
          <w:p w14:paraId="55722ACC" w14:textId="77777777" w:rsidR="007C5F78" w:rsidRPr="005F7417" w:rsidRDefault="007C5F78" w:rsidP="00F22C81">
            <w:pPr>
              <w:rPr>
                <w:rFonts w:cstheme="minorHAnsi"/>
              </w:rPr>
            </w:pPr>
            <w:r w:rsidRPr="00735C8B">
              <w:rPr>
                <w:rFonts w:cstheme="minorHAnsi"/>
              </w:rPr>
              <w:t>Povinná školní docházka se dostává do úrovně středního vzdělávání, což není úplně šťastné. Rovněž posilování všeobecného základu a</w:t>
            </w:r>
            <w:r>
              <w:rPr>
                <w:rFonts w:cstheme="minorHAnsi"/>
              </w:rPr>
              <w:t> </w:t>
            </w:r>
            <w:r w:rsidRPr="00735C8B">
              <w:rPr>
                <w:rFonts w:cstheme="minorHAnsi"/>
              </w:rPr>
              <w:t xml:space="preserve">základních gramotností by již nemělo patřit do této kategorie. U dětí ve věku 15 let je na to již pozdě, naopak mělo by docházet k jejich postupnému profesnímu </w:t>
            </w:r>
            <w:r w:rsidRPr="00735C8B">
              <w:rPr>
                <w:rFonts w:cstheme="minorHAnsi"/>
              </w:rPr>
              <w:lastRenderedPageBreak/>
              <w:t>směrování, jak je běžné v zemích na západ od ČR. U nás se ukončuje střední vzdělání s</w:t>
            </w:r>
            <w:r>
              <w:rPr>
                <w:rFonts w:cstheme="minorHAnsi"/>
              </w:rPr>
              <w:t> </w:t>
            </w:r>
            <w:r w:rsidRPr="00735C8B">
              <w:rPr>
                <w:rFonts w:cstheme="minorHAnsi"/>
              </w:rPr>
              <w:t>maturitou velmi pozdě, po 13 letech docházky do školy. Pravda, prodlužujeme tím mládí, otázkou je, nakolik je to ekonomicky efektivní. Zvýšením hranice povinné školní docházky nezajistíme dostatečnou kvalitu odbornosti.</w:t>
            </w:r>
          </w:p>
        </w:tc>
      </w:tr>
      <w:tr w:rsidR="007C5F78" w14:paraId="57D8F2DA" w14:textId="77777777" w:rsidTr="00F22C81">
        <w:tc>
          <w:tcPr>
            <w:tcW w:w="1413" w:type="dxa"/>
          </w:tcPr>
          <w:p w14:paraId="21FC8F43" w14:textId="77777777" w:rsidR="007C5F78" w:rsidRDefault="007C5F78" w:rsidP="00F22C81">
            <w:r>
              <w:lastRenderedPageBreak/>
              <w:t>s. 54</w:t>
            </w:r>
          </w:p>
        </w:tc>
        <w:tc>
          <w:tcPr>
            <w:tcW w:w="1276" w:type="dxa"/>
          </w:tcPr>
          <w:p w14:paraId="7110BADA" w14:textId="77777777" w:rsidR="007C5F78" w:rsidRDefault="007C5F78" w:rsidP="00F22C81">
            <w:r>
              <w:t>zásadní</w:t>
            </w:r>
          </w:p>
        </w:tc>
        <w:tc>
          <w:tcPr>
            <w:tcW w:w="3260" w:type="dxa"/>
          </w:tcPr>
          <w:p w14:paraId="29DD4245" w14:textId="77777777" w:rsidR="007C5F78" w:rsidRPr="005F7417" w:rsidRDefault="007C5F78" w:rsidP="00F22C81">
            <w:pPr>
              <w:rPr>
                <w:rFonts w:cstheme="minorHAnsi"/>
              </w:rPr>
            </w:pPr>
            <w:r w:rsidRPr="005F7417">
              <w:rPr>
                <w:rFonts w:cstheme="minorHAnsi"/>
              </w:rPr>
              <w:t>Klíčová aktivita C.2.1 Posílení všeobecného základu a základních gramotností, prodloužení povinné školní docházky</w:t>
            </w:r>
          </w:p>
        </w:tc>
        <w:tc>
          <w:tcPr>
            <w:tcW w:w="3113" w:type="dxa"/>
          </w:tcPr>
          <w:p w14:paraId="28441B52" w14:textId="77777777" w:rsidR="007C5F78" w:rsidRPr="005F7417" w:rsidRDefault="007C5F78" w:rsidP="00F22C81">
            <w:pPr>
              <w:rPr>
                <w:rFonts w:cstheme="minorHAnsi"/>
              </w:rPr>
            </w:pPr>
            <w:r w:rsidRPr="005F7417">
              <w:rPr>
                <w:rFonts w:cstheme="minorHAnsi"/>
              </w:rPr>
              <w:t>Aktuálního prostoru pro výuku všeobecných předmětů je více než dost. Naopak bychom potřebovali povinnou dotaci snížit, abychom mohli zapojit více odborných předmětů. Řada všeobecných vědomostí je stejně nejlépe předávána v</w:t>
            </w:r>
            <w:r>
              <w:rPr>
                <w:rFonts w:cstheme="minorHAnsi"/>
              </w:rPr>
              <w:t> </w:t>
            </w:r>
            <w:r w:rsidRPr="005F7417">
              <w:rPr>
                <w:rFonts w:cstheme="minorHAnsi"/>
              </w:rPr>
              <w:t>rámci odborných předmětů s</w:t>
            </w:r>
            <w:r>
              <w:rPr>
                <w:rFonts w:cstheme="minorHAnsi"/>
              </w:rPr>
              <w:t> </w:t>
            </w:r>
            <w:r w:rsidRPr="005F7417">
              <w:rPr>
                <w:rFonts w:cstheme="minorHAnsi"/>
              </w:rPr>
              <w:t>propojeností na příklady z</w:t>
            </w:r>
            <w:r>
              <w:rPr>
                <w:rFonts w:cstheme="minorHAnsi"/>
              </w:rPr>
              <w:t> </w:t>
            </w:r>
            <w:r w:rsidRPr="005F7417">
              <w:rPr>
                <w:rFonts w:cstheme="minorHAnsi"/>
              </w:rPr>
              <w:t xml:space="preserve">praxe. Tento prvek naše žáky opravdu nepodpoří v přípravě na praxi a ani na život. Druhým bodem je prodloužení povinné docházky na SŠ. Dle </w:t>
            </w:r>
            <w:r>
              <w:rPr>
                <w:rFonts w:cstheme="minorHAnsi"/>
              </w:rPr>
              <w:t>našeho</w:t>
            </w:r>
            <w:r w:rsidRPr="005F7417">
              <w:rPr>
                <w:rFonts w:cstheme="minorHAnsi"/>
              </w:rPr>
              <w:t xml:space="preserve"> názoru je tento záměr zcela nepromyšlený a způsobí v praxi mnoho problémů. První problém je již na začátku – každý žák ZŠ se tedy musí dostat na SŠ? Má tedy cenu vůbec dělat přijímačky? Co když se nedostane nikam? Na ZŠ je nemalé množství žáků, kteří v</w:t>
            </w:r>
            <w:r>
              <w:rPr>
                <w:rFonts w:cstheme="minorHAnsi"/>
              </w:rPr>
              <w:t> </w:t>
            </w:r>
            <w:r w:rsidRPr="005F7417">
              <w:rPr>
                <w:rFonts w:cstheme="minorHAnsi"/>
              </w:rPr>
              <w:t>rámci své nevzdělavatelnosti vychází po 9 letech z nižších ročníků. Jak to bude s nimi? Obávám</w:t>
            </w:r>
            <w:r>
              <w:rPr>
                <w:rFonts w:cstheme="minorHAnsi"/>
              </w:rPr>
              <w:t>e</w:t>
            </w:r>
            <w:r w:rsidRPr="005F7417">
              <w:rPr>
                <w:rFonts w:cstheme="minorHAnsi"/>
              </w:rPr>
              <w:t xml:space="preserve"> se, že tento krok spíše sníží kvalitu středního vzdělávání než naopak. Žáci si v současnosti velice dobře </w:t>
            </w:r>
            <w:r w:rsidRPr="005F7417">
              <w:rPr>
                <w:rFonts w:cstheme="minorHAnsi"/>
              </w:rPr>
              <w:lastRenderedPageBreak/>
              <w:t xml:space="preserve">uvědomují, že je na SŠ nikdo nedrží a pokud nebudou plnit vše, jak mají, skončí. Pokud budou plnit povinné vzdělávání, velice rychle si uvědomí, že je nad nimi ochranná ruka </w:t>
            </w:r>
            <w:r>
              <w:rPr>
                <w:rFonts w:cstheme="minorHAnsi"/>
              </w:rPr>
              <w:t xml:space="preserve">a </w:t>
            </w:r>
            <w:r w:rsidRPr="005F7417">
              <w:rPr>
                <w:rFonts w:cstheme="minorHAnsi"/>
              </w:rPr>
              <w:t>již tak problémoví žáci se stanou ještě problémovějšími. Např. celorepublikový problém s</w:t>
            </w:r>
            <w:r>
              <w:rPr>
                <w:rFonts w:cstheme="minorHAnsi"/>
              </w:rPr>
              <w:t> </w:t>
            </w:r>
            <w:r w:rsidRPr="005F7417">
              <w:rPr>
                <w:rFonts w:cstheme="minorHAnsi"/>
              </w:rPr>
              <w:t>absencí – i přes hrozbu ukončení studia řada žáků (bohužel i rodičů) absence moc neřeší. Pokud budou vědět, že škol</w:t>
            </w:r>
            <w:r>
              <w:rPr>
                <w:rFonts w:cstheme="minorHAnsi"/>
              </w:rPr>
              <w:t>a</w:t>
            </w:r>
            <w:r w:rsidRPr="005F7417">
              <w:rPr>
                <w:rFonts w:cstheme="minorHAnsi"/>
              </w:rPr>
              <w:t xml:space="preserve"> je nemůže vy</w:t>
            </w:r>
            <w:r>
              <w:rPr>
                <w:rFonts w:cstheme="minorHAnsi"/>
              </w:rPr>
              <w:t>loučit</w:t>
            </w:r>
            <w:r w:rsidRPr="005F7417">
              <w:rPr>
                <w:rFonts w:cstheme="minorHAnsi"/>
              </w:rPr>
              <w:t>, nebudou chodit vůbec. Další roky se to sice již může ukončením vyřešit, ale dopad na celkový vzdělávací proces to nevyřeší</w:t>
            </w:r>
            <w:r>
              <w:rPr>
                <w:rFonts w:cstheme="minorHAnsi"/>
              </w:rPr>
              <w:t xml:space="preserve">. </w:t>
            </w:r>
            <w:r w:rsidRPr="005F7417">
              <w:rPr>
                <w:rFonts w:cstheme="minorHAnsi"/>
              </w:rPr>
              <w:t>Řešením je pečlivější dohled nad odklady a pak úvaha nad tím, zda se zpět nevrátit k</w:t>
            </w:r>
            <w:r>
              <w:rPr>
                <w:rFonts w:cstheme="minorHAnsi"/>
              </w:rPr>
              <w:t> </w:t>
            </w:r>
            <w:r w:rsidRPr="005F7417">
              <w:rPr>
                <w:rFonts w:cstheme="minorHAnsi"/>
              </w:rPr>
              <w:t>osmileté povinné školní docházce na ZŠ.</w:t>
            </w:r>
          </w:p>
        </w:tc>
      </w:tr>
      <w:tr w:rsidR="007C5F78" w14:paraId="270678A6" w14:textId="77777777" w:rsidTr="00F22C81">
        <w:tc>
          <w:tcPr>
            <w:tcW w:w="1413" w:type="dxa"/>
          </w:tcPr>
          <w:p w14:paraId="38E97BC6" w14:textId="77777777" w:rsidR="007C5F78" w:rsidRDefault="007C5F78" w:rsidP="00F22C81">
            <w:r>
              <w:lastRenderedPageBreak/>
              <w:t>s. 56</w:t>
            </w:r>
          </w:p>
        </w:tc>
        <w:tc>
          <w:tcPr>
            <w:tcW w:w="1276" w:type="dxa"/>
          </w:tcPr>
          <w:p w14:paraId="703E27F4" w14:textId="77777777" w:rsidR="007C5F78" w:rsidRDefault="007C5F78" w:rsidP="00F22C81">
            <w:r>
              <w:t>zásadní</w:t>
            </w:r>
          </w:p>
        </w:tc>
        <w:tc>
          <w:tcPr>
            <w:tcW w:w="3260" w:type="dxa"/>
          </w:tcPr>
          <w:p w14:paraId="1B8FB15B" w14:textId="77777777" w:rsidR="007C5F78" w:rsidRPr="005F7417" w:rsidRDefault="007C5F78" w:rsidP="00F22C81">
            <w:pPr>
              <w:rPr>
                <w:rFonts w:cstheme="minorHAnsi"/>
              </w:rPr>
            </w:pPr>
            <w:r w:rsidRPr="00263D64">
              <w:rPr>
                <w:rFonts w:cstheme="minorHAnsi"/>
              </w:rPr>
              <w:t>Klíčová aktivita C.3.1 Elektronizace přihlašování žáků do středního vzdělávání (elektronické podání přihlášky)</w:t>
            </w:r>
          </w:p>
        </w:tc>
        <w:tc>
          <w:tcPr>
            <w:tcW w:w="3113" w:type="dxa"/>
          </w:tcPr>
          <w:p w14:paraId="7293B152" w14:textId="77777777" w:rsidR="007C5F78" w:rsidRPr="005F7417" w:rsidRDefault="007C5F78" w:rsidP="00F22C81">
            <w:pPr>
              <w:rPr>
                <w:rFonts w:cstheme="minorHAnsi"/>
              </w:rPr>
            </w:pPr>
            <w:r w:rsidRPr="00263D64">
              <w:rPr>
                <w:rFonts w:cstheme="minorHAnsi"/>
                <w:color w:val="000000" w:themeColor="text1"/>
              </w:rPr>
              <w:t xml:space="preserve">velké </w:t>
            </w:r>
            <w:proofErr w:type="gramStart"/>
            <w:r w:rsidRPr="00263D64">
              <w:rPr>
                <w:rFonts w:cstheme="minorHAnsi"/>
                <w:color w:val="000000" w:themeColor="text1"/>
              </w:rPr>
              <w:t>riziko - nutno</w:t>
            </w:r>
            <w:proofErr w:type="gramEnd"/>
            <w:r w:rsidRPr="00263D64">
              <w:rPr>
                <w:rFonts w:cstheme="minorHAnsi"/>
                <w:color w:val="000000" w:themeColor="text1"/>
              </w:rPr>
              <w:t xml:space="preserve"> udělat kvalitní a bezpečný systém</w:t>
            </w:r>
          </w:p>
        </w:tc>
      </w:tr>
      <w:tr w:rsidR="007C5F78" w14:paraId="7778FBA6" w14:textId="77777777" w:rsidTr="00F22C81">
        <w:tc>
          <w:tcPr>
            <w:tcW w:w="1413" w:type="dxa"/>
          </w:tcPr>
          <w:p w14:paraId="3E4F3479" w14:textId="77777777" w:rsidR="007C5F78" w:rsidRDefault="007C5F78" w:rsidP="00F22C81">
            <w:r>
              <w:t>s. 69</w:t>
            </w:r>
          </w:p>
        </w:tc>
        <w:tc>
          <w:tcPr>
            <w:tcW w:w="1276" w:type="dxa"/>
          </w:tcPr>
          <w:p w14:paraId="7F9CDA53" w14:textId="77777777" w:rsidR="007C5F78" w:rsidRDefault="007C5F78" w:rsidP="00F22C81">
            <w:r>
              <w:t>zásadní</w:t>
            </w:r>
          </w:p>
        </w:tc>
        <w:tc>
          <w:tcPr>
            <w:tcW w:w="3260" w:type="dxa"/>
          </w:tcPr>
          <w:p w14:paraId="3F709039" w14:textId="77777777" w:rsidR="007C5F78" w:rsidRPr="005F7417" w:rsidRDefault="007C5F78" w:rsidP="00F22C81">
            <w:pPr>
              <w:rPr>
                <w:rFonts w:cstheme="minorHAnsi"/>
              </w:rPr>
            </w:pPr>
            <w:r w:rsidRPr="00263D64">
              <w:rPr>
                <w:rFonts w:cstheme="minorHAnsi"/>
              </w:rPr>
              <w:t>Opatření D.2 Posílení role ředitele jako leadera pedagogického procesu</w:t>
            </w:r>
          </w:p>
        </w:tc>
        <w:tc>
          <w:tcPr>
            <w:tcW w:w="3113" w:type="dxa"/>
          </w:tcPr>
          <w:p w14:paraId="5C59AE1A" w14:textId="77777777" w:rsidR="007C5F78" w:rsidRPr="00263D64" w:rsidRDefault="007C5F78" w:rsidP="00F22C81">
            <w:pPr>
              <w:rPr>
                <w:rFonts w:cstheme="minorHAnsi"/>
              </w:rPr>
            </w:pPr>
            <w:r w:rsidRPr="00263D64">
              <w:rPr>
                <w:rFonts w:cstheme="minorHAnsi"/>
                <w:color w:val="000000" w:themeColor="text1"/>
              </w:rPr>
              <w:t>Posílení role ředitele jako leadera pedagogického procesu – domníváme se, že stávající ředitel</w:t>
            </w:r>
            <w:r>
              <w:rPr>
                <w:rFonts w:cstheme="minorHAnsi"/>
                <w:color w:val="000000" w:themeColor="text1"/>
              </w:rPr>
              <w:t>é</w:t>
            </w:r>
            <w:r w:rsidRPr="00263D64">
              <w:rPr>
                <w:rFonts w:cstheme="minorHAnsi"/>
                <w:color w:val="000000" w:themeColor="text1"/>
              </w:rPr>
              <w:t>, kteří působí již delší dobu ve své funkci, takovými leadery jsou, v opačném případě by již tuto práci nedělali. Vítané bude, když nebudou nadále administrativně zatěžováni novými a novými opatřeními, vyplývající z řady svazujících předpisů, nejnověji např. „Zákon o ochraně oznamovatelů“. V</w:t>
            </w:r>
            <w:r>
              <w:rPr>
                <w:rFonts w:cstheme="minorHAnsi"/>
                <w:color w:val="000000" w:themeColor="text1"/>
              </w:rPr>
              <w:t> </w:t>
            </w:r>
            <w:r w:rsidRPr="00263D64">
              <w:rPr>
                <w:rFonts w:cstheme="minorHAnsi"/>
                <w:color w:val="000000" w:themeColor="text1"/>
              </w:rPr>
              <w:t xml:space="preserve">řadě </w:t>
            </w:r>
            <w:r w:rsidRPr="00263D64">
              <w:rPr>
                <w:rFonts w:cstheme="minorHAnsi"/>
                <w:color w:val="000000" w:themeColor="text1"/>
              </w:rPr>
              <w:lastRenderedPageBreak/>
              <w:t>případů, které se odehrávají na školách, nepomůže ani sebehodnotnější a inovované funkční vzdělávání. Zde by bylo záhodno podpořit ředitele v podobě tematických školení a seminářů.</w:t>
            </w:r>
          </w:p>
        </w:tc>
      </w:tr>
      <w:tr w:rsidR="007C5F78" w14:paraId="08A0769A" w14:textId="77777777" w:rsidTr="00F22C81">
        <w:tc>
          <w:tcPr>
            <w:tcW w:w="1413" w:type="dxa"/>
          </w:tcPr>
          <w:p w14:paraId="775B1832" w14:textId="77777777" w:rsidR="007C5F78" w:rsidRDefault="007C5F78" w:rsidP="00F22C81">
            <w:r>
              <w:lastRenderedPageBreak/>
              <w:t>s. 71</w:t>
            </w:r>
          </w:p>
        </w:tc>
        <w:tc>
          <w:tcPr>
            <w:tcW w:w="1276" w:type="dxa"/>
          </w:tcPr>
          <w:p w14:paraId="7CBC30F8" w14:textId="77777777" w:rsidR="007C5F78" w:rsidRDefault="007C5F78" w:rsidP="00F22C81">
            <w:r>
              <w:t>zásadní</w:t>
            </w:r>
          </w:p>
        </w:tc>
        <w:tc>
          <w:tcPr>
            <w:tcW w:w="3260" w:type="dxa"/>
          </w:tcPr>
          <w:p w14:paraId="5AAF8F35" w14:textId="77777777" w:rsidR="007C5F78" w:rsidRPr="00263D64" w:rsidRDefault="007C5F78" w:rsidP="00F22C81">
            <w:pPr>
              <w:rPr>
                <w:rFonts w:cstheme="minorHAnsi"/>
              </w:rPr>
            </w:pPr>
            <w:r w:rsidRPr="00263D64">
              <w:rPr>
                <w:rFonts w:cstheme="minorHAnsi"/>
              </w:rPr>
              <w:t>Klíčová aktivita D.3.4 Revize požadavků na odbornou kvalifikaci pedagogických pracovníků</w:t>
            </w:r>
          </w:p>
        </w:tc>
        <w:tc>
          <w:tcPr>
            <w:tcW w:w="3113" w:type="dxa"/>
          </w:tcPr>
          <w:p w14:paraId="1C15BA80" w14:textId="77777777" w:rsidR="007C5F78" w:rsidRPr="00263D64" w:rsidRDefault="007C5F78" w:rsidP="00F22C81">
            <w:pPr>
              <w:rPr>
                <w:rFonts w:cstheme="minorHAnsi"/>
                <w:color w:val="000000" w:themeColor="text1"/>
              </w:rPr>
            </w:pPr>
            <w:r w:rsidRPr="00263D64">
              <w:rPr>
                <w:rFonts w:cstheme="minorHAnsi"/>
                <w:color w:val="000000" w:themeColor="text1"/>
              </w:rPr>
              <w:t>Požadavek aprobovanosti jde v</w:t>
            </w:r>
            <w:r>
              <w:rPr>
                <w:rFonts w:cstheme="minorHAnsi"/>
                <w:color w:val="000000" w:themeColor="text1"/>
              </w:rPr>
              <w:t> </w:t>
            </w:r>
            <w:r w:rsidRPr="00263D64">
              <w:rPr>
                <w:rFonts w:cstheme="minorHAnsi"/>
                <w:color w:val="000000" w:themeColor="text1"/>
              </w:rPr>
              <w:t xml:space="preserve">základním vzdělávání proti žádoucímu </w:t>
            </w:r>
            <w:proofErr w:type="gramStart"/>
            <w:r w:rsidRPr="00263D64">
              <w:rPr>
                <w:rFonts w:cstheme="minorHAnsi"/>
                <w:color w:val="000000" w:themeColor="text1"/>
              </w:rPr>
              <w:t>trendu - propojování</w:t>
            </w:r>
            <w:proofErr w:type="gramEnd"/>
            <w:r w:rsidRPr="00263D64">
              <w:rPr>
                <w:rFonts w:cstheme="minorHAnsi"/>
                <w:color w:val="000000" w:themeColor="text1"/>
              </w:rPr>
              <w:t>, učení v souvislostech, mezipředmětové vztahy. Akcent na aprobovanost patří až do středního vzdělávání.</w:t>
            </w:r>
          </w:p>
        </w:tc>
      </w:tr>
      <w:tr w:rsidR="007C5F78" w14:paraId="62FA112C" w14:textId="77777777" w:rsidTr="00F22C81">
        <w:tc>
          <w:tcPr>
            <w:tcW w:w="1413" w:type="dxa"/>
          </w:tcPr>
          <w:p w14:paraId="0EF2AAF8" w14:textId="77777777" w:rsidR="007C5F78" w:rsidRDefault="007C5F78" w:rsidP="00F22C81">
            <w:r>
              <w:t>s. 77</w:t>
            </w:r>
          </w:p>
        </w:tc>
        <w:tc>
          <w:tcPr>
            <w:tcW w:w="1276" w:type="dxa"/>
          </w:tcPr>
          <w:p w14:paraId="0E95A857" w14:textId="77777777" w:rsidR="007C5F78" w:rsidRDefault="007C5F78" w:rsidP="00F22C81">
            <w:r>
              <w:t>zásadní</w:t>
            </w:r>
          </w:p>
        </w:tc>
        <w:tc>
          <w:tcPr>
            <w:tcW w:w="3260" w:type="dxa"/>
          </w:tcPr>
          <w:p w14:paraId="1E67C695" w14:textId="77777777" w:rsidR="007C5F78" w:rsidRPr="00263D64" w:rsidRDefault="007C5F78" w:rsidP="00F22C81">
            <w:pPr>
              <w:rPr>
                <w:rFonts w:cstheme="minorHAnsi"/>
              </w:rPr>
            </w:pPr>
            <w:r w:rsidRPr="00263D64">
              <w:rPr>
                <w:rFonts w:cstheme="minorHAnsi"/>
              </w:rPr>
              <w:t>Klíčová aktivita E.1.4 Zefektivnění systému školských poradenských zařízení zavedením sjednocených postupů při poskytování poradenských služeb</w:t>
            </w:r>
            <w:r>
              <w:rPr>
                <w:rFonts w:cstheme="minorHAnsi"/>
              </w:rPr>
              <w:t>, spádovost PP</w:t>
            </w:r>
          </w:p>
        </w:tc>
        <w:tc>
          <w:tcPr>
            <w:tcW w:w="3113" w:type="dxa"/>
          </w:tcPr>
          <w:p w14:paraId="0E3A05B8" w14:textId="77777777" w:rsidR="007C5F78" w:rsidRPr="00263D64" w:rsidRDefault="007C5F78" w:rsidP="00F22C81">
            <w:pPr>
              <w:rPr>
                <w:rFonts w:cstheme="minorHAnsi"/>
                <w:color w:val="000000" w:themeColor="text1"/>
              </w:rPr>
            </w:pPr>
            <w:r w:rsidRPr="00263D64">
              <w:rPr>
                <w:rFonts w:cstheme="minorHAnsi"/>
                <w:color w:val="000000" w:themeColor="text1"/>
              </w:rPr>
              <w:t>Je to zbytečně omezující. Občan si může vybrat svého lékaře, dítěti školu, ale nemůže si pro své dítě poradnu.</w:t>
            </w:r>
          </w:p>
        </w:tc>
      </w:tr>
      <w:tr w:rsidR="007C5F78" w14:paraId="22FE5598" w14:textId="77777777" w:rsidTr="00F22C81">
        <w:tc>
          <w:tcPr>
            <w:tcW w:w="1413" w:type="dxa"/>
          </w:tcPr>
          <w:p w14:paraId="2E71C111" w14:textId="77777777" w:rsidR="007C5F78" w:rsidRDefault="007C5F78" w:rsidP="00F22C81">
            <w:r>
              <w:t>s. 96</w:t>
            </w:r>
          </w:p>
        </w:tc>
        <w:tc>
          <w:tcPr>
            <w:tcW w:w="1276" w:type="dxa"/>
          </w:tcPr>
          <w:p w14:paraId="5D087B39" w14:textId="77777777" w:rsidR="007C5F78" w:rsidRDefault="007C5F78" w:rsidP="00F22C81">
            <w:r>
              <w:t>zásadní</w:t>
            </w:r>
          </w:p>
        </w:tc>
        <w:tc>
          <w:tcPr>
            <w:tcW w:w="3260" w:type="dxa"/>
          </w:tcPr>
          <w:p w14:paraId="296C0F94" w14:textId="77777777" w:rsidR="007C5F78" w:rsidRPr="00263D64" w:rsidRDefault="007C5F78" w:rsidP="00F22C81">
            <w:pPr>
              <w:rPr>
                <w:rFonts w:cstheme="minorHAnsi"/>
              </w:rPr>
            </w:pPr>
            <w:r w:rsidRPr="00263D64">
              <w:rPr>
                <w:rFonts w:cstheme="minorHAnsi"/>
              </w:rPr>
              <w:t>G. Systémová podpora a řízení škol</w:t>
            </w:r>
          </w:p>
        </w:tc>
        <w:tc>
          <w:tcPr>
            <w:tcW w:w="3113" w:type="dxa"/>
          </w:tcPr>
          <w:p w14:paraId="319E5A63" w14:textId="77777777" w:rsidR="007C5F78" w:rsidRPr="00263D64" w:rsidRDefault="007C5F78" w:rsidP="00F22C8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263D64">
              <w:rPr>
                <w:rFonts w:cstheme="minorHAnsi"/>
                <w:color w:val="000000" w:themeColor="text1"/>
              </w:rPr>
              <w:t>ejde o snížení celkové administrativní zátěže, ale naopak její zvýšení a rozložení mezi více "kompetentních" osob, což v překladu znamená navýšení počtu úřednických míst a s tím související vyšší finanční zátěž pro státní rozpočet.</w:t>
            </w:r>
          </w:p>
        </w:tc>
      </w:tr>
      <w:tr w:rsidR="007C5F78" w14:paraId="41972EF7" w14:textId="77777777" w:rsidTr="00F22C81">
        <w:tc>
          <w:tcPr>
            <w:tcW w:w="1413" w:type="dxa"/>
          </w:tcPr>
          <w:p w14:paraId="12266297" w14:textId="77777777" w:rsidR="007C5F78" w:rsidRDefault="007C5F78" w:rsidP="00F22C81">
            <w:r>
              <w:t>s. 104</w:t>
            </w:r>
          </w:p>
        </w:tc>
        <w:tc>
          <w:tcPr>
            <w:tcW w:w="1276" w:type="dxa"/>
          </w:tcPr>
          <w:p w14:paraId="65A10170" w14:textId="77777777" w:rsidR="007C5F78" w:rsidRDefault="007C5F78" w:rsidP="00F22C81">
            <w:r>
              <w:t>zásadní</w:t>
            </w:r>
          </w:p>
        </w:tc>
        <w:tc>
          <w:tcPr>
            <w:tcW w:w="3260" w:type="dxa"/>
          </w:tcPr>
          <w:p w14:paraId="6CC10392" w14:textId="77777777" w:rsidR="007C5F78" w:rsidRPr="00263D64" w:rsidRDefault="007C5F78" w:rsidP="00F22C81">
            <w:pPr>
              <w:rPr>
                <w:rFonts w:cstheme="minorHAnsi"/>
              </w:rPr>
            </w:pPr>
            <w:r w:rsidRPr="00263D64">
              <w:rPr>
                <w:rFonts w:cstheme="minorHAnsi"/>
              </w:rPr>
              <w:t>Klíčová aktivita G.4.3 Analýza kapacit nespádových škol</w:t>
            </w:r>
          </w:p>
        </w:tc>
        <w:tc>
          <w:tcPr>
            <w:tcW w:w="3113" w:type="dxa"/>
          </w:tcPr>
          <w:p w14:paraId="43B2E8BB" w14:textId="77777777" w:rsidR="007C5F78" w:rsidRPr="00263D64" w:rsidRDefault="007C5F78" w:rsidP="00F22C8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J</w:t>
            </w:r>
            <w:r w:rsidRPr="00263D64">
              <w:rPr>
                <w:rFonts w:cstheme="minorHAnsi"/>
                <w:color w:val="000000" w:themeColor="text1"/>
              </w:rPr>
              <w:t>e nezbytné zachovat funkční a</w:t>
            </w:r>
            <w:r>
              <w:rPr>
                <w:rFonts w:cstheme="minorHAnsi"/>
                <w:color w:val="000000" w:themeColor="text1"/>
              </w:rPr>
              <w:t> </w:t>
            </w:r>
            <w:r w:rsidRPr="00263D64">
              <w:rPr>
                <w:rFonts w:cstheme="minorHAnsi"/>
                <w:color w:val="000000" w:themeColor="text1"/>
              </w:rPr>
              <w:t>kvalitní nespádové školy, které tvoří nedílnou součást vzdělávací soustavy, což je garantováno zákonem č.306/1999 Sb. i zákonem č.</w:t>
            </w:r>
            <w:r>
              <w:rPr>
                <w:rFonts w:cstheme="minorHAnsi"/>
                <w:color w:val="000000" w:themeColor="text1"/>
              </w:rPr>
              <w:t> </w:t>
            </w:r>
            <w:r w:rsidRPr="00263D64">
              <w:rPr>
                <w:rFonts w:cstheme="minorHAnsi"/>
                <w:color w:val="000000" w:themeColor="text1"/>
              </w:rPr>
              <w:t>561/2004 Sb. Nelze měnit pravidla a jednou stanovená kritéria. Do této oblasti patří „potřebnost oboru na vzdělávacím trhu“, není potřeba přijímat kritéria další.</w:t>
            </w:r>
          </w:p>
        </w:tc>
      </w:tr>
      <w:tr w:rsidR="007C5F78" w14:paraId="0C6E4655" w14:textId="77777777" w:rsidTr="00F22C81">
        <w:tc>
          <w:tcPr>
            <w:tcW w:w="1413" w:type="dxa"/>
          </w:tcPr>
          <w:p w14:paraId="5FF19C2F" w14:textId="77777777" w:rsidR="007C5F78" w:rsidRDefault="007C5F78" w:rsidP="00F22C81">
            <w:r>
              <w:lastRenderedPageBreak/>
              <w:t>s. 123</w:t>
            </w:r>
          </w:p>
        </w:tc>
        <w:tc>
          <w:tcPr>
            <w:tcW w:w="1276" w:type="dxa"/>
          </w:tcPr>
          <w:p w14:paraId="5301AAD6" w14:textId="77777777" w:rsidR="007C5F78" w:rsidRDefault="007C5F78" w:rsidP="00F22C81">
            <w:r>
              <w:t>zásadní</w:t>
            </w:r>
          </w:p>
        </w:tc>
        <w:tc>
          <w:tcPr>
            <w:tcW w:w="3260" w:type="dxa"/>
          </w:tcPr>
          <w:p w14:paraId="0203C5F0" w14:textId="77777777" w:rsidR="007C5F78" w:rsidRPr="00263D64" w:rsidRDefault="007C5F78" w:rsidP="00F22C81">
            <w:pPr>
              <w:rPr>
                <w:rFonts w:cstheme="minorHAnsi"/>
              </w:rPr>
            </w:pPr>
            <w:r w:rsidRPr="00263D64">
              <w:rPr>
                <w:rFonts w:cstheme="minorHAnsi"/>
              </w:rPr>
              <w:t>1. PŘEDŠKOLNÍ VZDĚLÁVÁ</w:t>
            </w:r>
            <w:r>
              <w:rPr>
                <w:rFonts w:cstheme="minorHAnsi"/>
              </w:rPr>
              <w:t>NÍ</w:t>
            </w:r>
          </w:p>
        </w:tc>
        <w:tc>
          <w:tcPr>
            <w:tcW w:w="3113" w:type="dxa"/>
          </w:tcPr>
          <w:p w14:paraId="65CD34C5" w14:textId="77777777" w:rsidR="007C5F78" w:rsidRDefault="007C5F78" w:rsidP="00F22C81">
            <w:pPr>
              <w:rPr>
                <w:rFonts w:cstheme="minorHAnsi"/>
                <w:color w:val="000000" w:themeColor="text1"/>
              </w:rPr>
            </w:pPr>
            <w:r w:rsidRPr="00263D64">
              <w:rPr>
                <w:rFonts w:cstheme="minorHAnsi"/>
                <w:color w:val="000000" w:themeColor="text1"/>
              </w:rPr>
              <w:t>Z čeho je odvozena kvóta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proofErr w:type="gramStart"/>
            <w:r>
              <w:rPr>
                <w:rFonts w:cstheme="minorHAnsi"/>
                <w:color w:val="000000" w:themeColor="text1"/>
              </w:rPr>
              <w:t>1%</w:t>
            </w:r>
            <w:proofErr w:type="gramEnd"/>
            <w:r w:rsidRPr="00263D64">
              <w:rPr>
                <w:rFonts w:cstheme="minorHAnsi"/>
                <w:color w:val="000000" w:themeColor="text1"/>
              </w:rPr>
              <w:t>? Jeví se jako nedůvodné omezování.</w:t>
            </w:r>
          </w:p>
        </w:tc>
      </w:tr>
      <w:tr w:rsidR="007C5F78" w14:paraId="7A5D9DCE" w14:textId="77777777" w:rsidTr="00F22C81">
        <w:tc>
          <w:tcPr>
            <w:tcW w:w="1413" w:type="dxa"/>
          </w:tcPr>
          <w:p w14:paraId="7D8CF069" w14:textId="77777777" w:rsidR="007C5F78" w:rsidRDefault="007C5F78" w:rsidP="00F22C81">
            <w:r>
              <w:t>s. 123</w:t>
            </w:r>
          </w:p>
        </w:tc>
        <w:tc>
          <w:tcPr>
            <w:tcW w:w="1276" w:type="dxa"/>
          </w:tcPr>
          <w:p w14:paraId="22EFDB91" w14:textId="77777777" w:rsidR="007C5F78" w:rsidRDefault="007C5F78" w:rsidP="00F22C81">
            <w:r>
              <w:t>Zásadní</w:t>
            </w:r>
          </w:p>
        </w:tc>
        <w:tc>
          <w:tcPr>
            <w:tcW w:w="3260" w:type="dxa"/>
          </w:tcPr>
          <w:p w14:paraId="66C7010C" w14:textId="77777777" w:rsidR="007C5F78" w:rsidRPr="00263D64" w:rsidRDefault="007C5F78" w:rsidP="00F22C81">
            <w:pPr>
              <w:rPr>
                <w:rFonts w:cstheme="minorHAnsi"/>
              </w:rPr>
            </w:pPr>
            <w:r w:rsidRPr="00263D64">
              <w:rPr>
                <w:rFonts w:cstheme="minorHAnsi"/>
              </w:rPr>
              <w:t>2. ZÁKLADNÍ VZDĚLÁVÁNÍ</w:t>
            </w:r>
          </w:p>
        </w:tc>
        <w:tc>
          <w:tcPr>
            <w:tcW w:w="3113" w:type="dxa"/>
          </w:tcPr>
          <w:p w14:paraId="7B800C1D" w14:textId="77777777" w:rsidR="007C5F78" w:rsidRDefault="007C5F78" w:rsidP="00F22C81">
            <w:pPr>
              <w:rPr>
                <w:rFonts w:cstheme="minorHAnsi"/>
                <w:color w:val="000000" w:themeColor="text1"/>
              </w:rPr>
            </w:pPr>
            <w:r w:rsidRPr="00263D64">
              <w:rPr>
                <w:rFonts w:cstheme="minorHAnsi"/>
                <w:color w:val="000000" w:themeColor="text1"/>
              </w:rPr>
              <w:t>Může se stát, že nenaplněná nekvalitní škola způsobí nezapsání nové školy!</w:t>
            </w:r>
          </w:p>
        </w:tc>
      </w:tr>
      <w:tr w:rsidR="007C5F78" w14:paraId="3A44AC12" w14:textId="77777777" w:rsidTr="00F22C81">
        <w:tc>
          <w:tcPr>
            <w:tcW w:w="1413" w:type="dxa"/>
          </w:tcPr>
          <w:p w14:paraId="747BEFFA" w14:textId="77777777" w:rsidR="007C5F78" w:rsidRDefault="007C5F78" w:rsidP="00F22C81"/>
        </w:tc>
        <w:tc>
          <w:tcPr>
            <w:tcW w:w="1276" w:type="dxa"/>
          </w:tcPr>
          <w:p w14:paraId="51B24BAC" w14:textId="77777777" w:rsidR="007C5F78" w:rsidRDefault="007C5F78" w:rsidP="00F22C81"/>
        </w:tc>
        <w:tc>
          <w:tcPr>
            <w:tcW w:w="3260" w:type="dxa"/>
          </w:tcPr>
          <w:p w14:paraId="400DD715" w14:textId="77777777" w:rsidR="007C5F78" w:rsidRPr="00263D64" w:rsidRDefault="007C5F78" w:rsidP="00F22C81">
            <w:pPr>
              <w:rPr>
                <w:rFonts w:cstheme="minorHAnsi"/>
              </w:rPr>
            </w:pPr>
          </w:p>
        </w:tc>
        <w:tc>
          <w:tcPr>
            <w:tcW w:w="3113" w:type="dxa"/>
          </w:tcPr>
          <w:p w14:paraId="6E01130C" w14:textId="77777777" w:rsidR="007C5F78" w:rsidRPr="00263D64" w:rsidRDefault="007C5F78" w:rsidP="00F22C81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14E5C467" w14:textId="7789F9FD" w:rsidR="007C5F78" w:rsidRDefault="007C5F78" w:rsidP="00A90AE3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03485BBF" w14:textId="77777777" w:rsidR="007C5F78" w:rsidRPr="00A90AE3" w:rsidRDefault="007C5F78" w:rsidP="00A90AE3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22AC2EF8" w14:textId="77777777" w:rsidR="006118D9" w:rsidRDefault="006118D9" w:rsidP="00A90AE3">
      <w:pPr>
        <w:pStyle w:val="Default"/>
        <w:jc w:val="both"/>
        <w:rPr>
          <w:b/>
          <w:bCs/>
          <w:color w:val="auto"/>
        </w:rPr>
      </w:pPr>
    </w:p>
    <w:p w14:paraId="75331D57" w14:textId="006AF7AC" w:rsidR="00A90AE3" w:rsidRPr="00B35BFE" w:rsidRDefault="00A90AE3" w:rsidP="00A90AE3">
      <w:pPr>
        <w:pStyle w:val="Default"/>
        <w:jc w:val="both"/>
        <w:rPr>
          <w:b/>
          <w:bCs/>
          <w:color w:val="auto"/>
        </w:rPr>
      </w:pPr>
      <w:r w:rsidRPr="00B35BFE">
        <w:rPr>
          <w:b/>
          <w:bCs/>
          <w:color w:val="auto"/>
        </w:rPr>
        <w:t>K bodu 1, strana 5</w:t>
      </w:r>
    </w:p>
    <w:p w14:paraId="44F97B81" w14:textId="77777777" w:rsidR="00A90AE3" w:rsidRDefault="00A90AE3" w:rsidP="00A90AE3">
      <w:pPr>
        <w:pStyle w:val="Default"/>
        <w:jc w:val="both"/>
        <w:rPr>
          <w:color w:val="auto"/>
        </w:rPr>
      </w:pPr>
      <w:r>
        <w:rPr>
          <w:color w:val="auto"/>
        </w:rPr>
        <w:t>Připomínkovaný text:</w:t>
      </w:r>
    </w:p>
    <w:p w14:paraId="3203E918" w14:textId="77777777" w:rsidR="00A90AE3" w:rsidRDefault="00A90AE3" w:rsidP="00A90AE3">
      <w:pPr>
        <w:pStyle w:val="Default"/>
        <w:jc w:val="both"/>
        <w:rPr>
          <w:i/>
          <w:iCs/>
        </w:rPr>
      </w:pPr>
      <w:r w:rsidRPr="004245F1">
        <w:rPr>
          <w:i/>
          <w:iCs/>
          <w:color w:val="auto"/>
        </w:rPr>
        <w:t xml:space="preserve">„… </w:t>
      </w:r>
      <w:r w:rsidRPr="004245F1">
        <w:rPr>
          <w:i/>
          <w:iCs/>
        </w:rPr>
        <w:t>užší odborné vzdělání sice zvyšuje šance na uplatnění v mládí, nicméně všeobecné vzdělání napomáhá k setrvání na trhu práce i ve vyšším věku, neboť poskytuje více kompetencí potřebných k přizpůsobení se změnám prostředí.“</w:t>
      </w:r>
    </w:p>
    <w:p w14:paraId="5B120067" w14:textId="77777777" w:rsidR="00A90AE3" w:rsidRDefault="00A90AE3" w:rsidP="00A90AE3">
      <w:pPr>
        <w:pStyle w:val="Default"/>
        <w:jc w:val="both"/>
      </w:pPr>
    </w:p>
    <w:p w14:paraId="5CA66295" w14:textId="77777777" w:rsidR="00A90AE3" w:rsidRDefault="00A90AE3" w:rsidP="00A90AE3">
      <w:pPr>
        <w:pStyle w:val="Default"/>
        <w:jc w:val="both"/>
      </w:pPr>
      <w:r>
        <w:t xml:space="preserve">Připomínka: Obory vyučované na středních odborných školách a učilištích podle RVP obsahují všeobecné vzdělání v dosti velkém rozsahu, podíl všeobecného a odborného vzdělání je v optimálním poměru. Podle platných RVP se úzce odborně zaměřené obory nevyučují, kompetence vycházející z výuky všeobecných předmětů rozvíjejí osobnost žáka v náležité míře (odborné obory vyučované v ČR jsou mírou výuky všeobecných předmětů povahou vlastně obory lyceálními: žáci pedagogických oborů se učí fyziku, technických oborů dějepis, zdravotnických oborů základy filozofie v rámci společenských věd apod.). </w:t>
      </w:r>
    </w:p>
    <w:p w14:paraId="7620CEEF" w14:textId="67499651" w:rsidR="00A90AE3" w:rsidRDefault="00A90AE3" w:rsidP="00A90AE3">
      <w:pPr>
        <w:pStyle w:val="Default"/>
        <w:pBdr>
          <w:bottom w:val="single" w:sz="4" w:space="1" w:color="auto"/>
        </w:pBdr>
        <w:jc w:val="both"/>
      </w:pPr>
      <w:r>
        <w:t xml:space="preserve">Odborné vzdělání dává šanci na uplatnění nejen v mládí, ale i v průběhu profesní dráhy, zvláště v oborech technických a zdravotnických (zdravotní sestra středního věku má stejnou uplatnitelnost na trhu práce jako absolvent gymnázia, ne-li větší).  </w:t>
      </w:r>
    </w:p>
    <w:p w14:paraId="0D189664" w14:textId="5B93B9A8" w:rsidR="00A90AE3" w:rsidRDefault="00A90AE3" w:rsidP="00A90AE3">
      <w:pPr>
        <w:pStyle w:val="Default"/>
        <w:pBdr>
          <w:bottom w:val="single" w:sz="4" w:space="1" w:color="auto"/>
        </w:pBdr>
        <w:jc w:val="both"/>
      </w:pPr>
      <w:r>
        <w:t xml:space="preserve">                                                                                                            </w:t>
      </w:r>
      <w:r>
        <w:rPr>
          <w:rFonts w:asciiTheme="minorHAnsi" w:hAnsiTheme="minorHAnsi" w:cstheme="minorHAnsi"/>
          <w:bCs/>
        </w:rPr>
        <w:t>tato připomínka je</w:t>
      </w:r>
      <w:r w:rsidRPr="00A90AE3">
        <w:rPr>
          <w:rFonts w:asciiTheme="minorHAnsi" w:hAnsiTheme="minorHAnsi" w:cstheme="minorHAnsi"/>
          <w:b/>
          <w:bCs/>
        </w:rPr>
        <w:t xml:space="preserve"> </w:t>
      </w:r>
      <w:r w:rsidRPr="00686C59">
        <w:rPr>
          <w:rFonts w:asciiTheme="minorHAnsi" w:hAnsiTheme="minorHAnsi" w:cstheme="minorHAnsi"/>
          <w:b/>
          <w:bCs/>
        </w:rPr>
        <w:t>zásadní</w:t>
      </w:r>
    </w:p>
    <w:p w14:paraId="63AF9ABD" w14:textId="77777777" w:rsidR="00A90AE3" w:rsidRPr="00A00FB6" w:rsidRDefault="00A90AE3" w:rsidP="00A90AE3">
      <w:pPr>
        <w:pStyle w:val="Default"/>
        <w:jc w:val="both"/>
      </w:pPr>
      <w:r>
        <w:t xml:space="preserve">     </w:t>
      </w:r>
    </w:p>
    <w:p w14:paraId="62D01E7F" w14:textId="77777777" w:rsidR="00A90AE3" w:rsidRDefault="00A90AE3" w:rsidP="00A90AE3">
      <w:pPr>
        <w:pStyle w:val="Default"/>
        <w:jc w:val="both"/>
        <w:rPr>
          <w:b/>
          <w:bCs/>
        </w:rPr>
      </w:pPr>
      <w:r w:rsidRPr="00B35BFE">
        <w:rPr>
          <w:b/>
          <w:bCs/>
        </w:rPr>
        <w:t xml:space="preserve">K bodu 3.6 </w:t>
      </w:r>
    </w:p>
    <w:p w14:paraId="652EE62B" w14:textId="77777777" w:rsidR="00A90AE3" w:rsidRPr="00B35BFE" w:rsidRDefault="00A90AE3" w:rsidP="00A90AE3">
      <w:pPr>
        <w:pStyle w:val="Default"/>
        <w:jc w:val="both"/>
        <w:rPr>
          <w:b/>
          <w:bCs/>
        </w:rPr>
      </w:pPr>
      <w:r w:rsidRPr="00B35BFE">
        <w:rPr>
          <w:b/>
          <w:bCs/>
        </w:rPr>
        <w:t xml:space="preserve">Strategické kroky MŠMT </w:t>
      </w:r>
    </w:p>
    <w:p w14:paraId="5340FF5F" w14:textId="77777777" w:rsidR="00A90AE3" w:rsidRPr="00B35BFE" w:rsidRDefault="00A90AE3" w:rsidP="00A90AE3">
      <w:pPr>
        <w:pStyle w:val="Default"/>
        <w:jc w:val="both"/>
      </w:pPr>
      <w:r w:rsidRPr="00B35BFE">
        <w:t xml:space="preserve">6) Akcentovat rozvoj všeobecně vzdělávacích typů 4letých středních škol (gymnázia, lycea). </w:t>
      </w:r>
    </w:p>
    <w:p w14:paraId="7F91D419" w14:textId="77777777" w:rsidR="00A90AE3" w:rsidRPr="00B35BFE" w:rsidRDefault="00A90AE3" w:rsidP="00A90AE3">
      <w:pPr>
        <w:pStyle w:val="Default"/>
        <w:jc w:val="both"/>
      </w:pPr>
      <w:r w:rsidRPr="00B35BFE">
        <w:rPr>
          <w:b/>
          <w:bCs/>
        </w:rPr>
        <w:t xml:space="preserve">Doporučení pro kraje </w:t>
      </w:r>
    </w:p>
    <w:p w14:paraId="1882B533" w14:textId="77777777" w:rsidR="00A90AE3" w:rsidRPr="00B35BFE" w:rsidRDefault="00A90AE3" w:rsidP="00A90AE3">
      <w:pPr>
        <w:pStyle w:val="Default"/>
        <w:jc w:val="both"/>
      </w:pPr>
      <w:r w:rsidRPr="00B35BFE">
        <w:t xml:space="preserve">1) Podle výchozího stavu a s ohledem na demografický vývoj vytvářet nové kapacity středních škol, resp. uzpůsobovat jejich oborovou strukturu a posilovat podíl oborů gymnázium a zejména lyceum. </w:t>
      </w:r>
    </w:p>
    <w:p w14:paraId="696E3194" w14:textId="77777777" w:rsidR="00A90AE3" w:rsidRPr="00B35BFE" w:rsidRDefault="00A90AE3" w:rsidP="00A90AE3">
      <w:pPr>
        <w:pStyle w:val="Default"/>
        <w:jc w:val="both"/>
      </w:pPr>
      <w:r w:rsidRPr="00B35BFE">
        <w:t>3) Upřednostňovat žádané obory vzdělání, které umožňují navazující studium ve vyšších odborných a vysokých školách (gymnázia a lycea) na úkor neobsazovaných oborů vzdělání.</w:t>
      </w:r>
    </w:p>
    <w:p w14:paraId="4370E29E" w14:textId="77777777" w:rsidR="00A90AE3" w:rsidRDefault="00A90AE3" w:rsidP="00A90AE3">
      <w:pPr>
        <w:pStyle w:val="Default"/>
        <w:jc w:val="both"/>
      </w:pPr>
    </w:p>
    <w:p w14:paraId="5CB297CC" w14:textId="77777777" w:rsidR="00A90AE3" w:rsidRDefault="00A90AE3" w:rsidP="00A90AE3">
      <w:pPr>
        <w:pStyle w:val="Default"/>
        <w:jc w:val="both"/>
      </w:pPr>
      <w:r>
        <w:t xml:space="preserve">Připomínka 1: na gymnáziích studuje cca 30 % středoškolské mládeže, z toho cca 10 % přichází na gymnázia do nižšího stupně, cca 20 % po deváté třídě ZŠ do vyššího stupně (infoabsolvent.cz: 2022-2023: gymnázium, první ročník = 20,5 %, lyceum = 4,1 %). Na gymnáziích již nyní studuje významná část, téměř třetina středoškoláků. Z toho důvodu je otázka platnosti gymnázií coby „výběrových škol“, jak je tradičně vnímá veřejnost. Ještě vyšší poměr žáků na gymnáziích bude snižovat jejich úroveň. Zpochybní jejich charakter (přiměřeně) </w:t>
      </w:r>
      <w:r>
        <w:lastRenderedPageBreak/>
        <w:t xml:space="preserve">náročných škol určených pro studijní a motivované žáky, naopak budou obdobou amerických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, tedy škol všeobecného zaměření určených pro všechny, tedy žáky studijní i nestudijní. Chceme-li zachovat charakter gymnázií ve smyslu škol pro studijní a motivované žáky, v prospěch jejich kvality nebudeme navyšovat jejich počet ani podíl žáků, kteří na nich studují.  </w:t>
      </w:r>
    </w:p>
    <w:p w14:paraId="4A764320" w14:textId="77777777" w:rsidR="00A90AE3" w:rsidRDefault="00A90AE3" w:rsidP="00A90AE3">
      <w:pPr>
        <w:pStyle w:val="Default"/>
        <w:jc w:val="both"/>
      </w:pPr>
    </w:p>
    <w:p w14:paraId="35FA108C" w14:textId="77777777" w:rsidR="00A90AE3" w:rsidRDefault="00A90AE3" w:rsidP="00A90AE3">
      <w:pPr>
        <w:pStyle w:val="Default"/>
        <w:jc w:val="both"/>
      </w:pPr>
      <w:r>
        <w:t xml:space="preserve">Připomínka 2: Zvyšování podílů žáků studujících na gymnáziích a lyceích znamená snížit podíl žáků studujících na odborných školách a učilištích. Už nyní se však zaměstnavatelé řady sektorů potýkají s nedostatkem kvalifikovaných absolventů SŠ – sektor IT, elektrotechnika, strojírenství, zdravotnictví aj. Podle prognózy MPO a MŠMT bude česká energetika v následujících letech potřebovat více než 4 000 kvalifikovaných absolventů (SŠ a VŠ). Vysoký počet absolventů elektrotechnických oborů nyní a v blízké budoucnosti potřebuje Armáda ČR, bez ohledu na to, že MV zřizuje vlastní střední školu. To jsou příklady toho, jak právě absolventi některých oborů jsou potřební. Podíl žáků na gymnáziích a v odborných oborech má být znovu konzultován s potřebami soukromého sektoru, např. přes HK a SPČR. Názor profesních sdružení v této věci má být respektován i v připravovaných krajských DZ. </w:t>
      </w:r>
    </w:p>
    <w:p w14:paraId="5559903E" w14:textId="77777777" w:rsidR="00A90AE3" w:rsidRDefault="00A90AE3" w:rsidP="00A90AE3">
      <w:pPr>
        <w:pStyle w:val="Default"/>
        <w:jc w:val="both"/>
      </w:pPr>
    </w:p>
    <w:p w14:paraId="67FF7C01" w14:textId="4C3F8B55" w:rsidR="00A90AE3" w:rsidRDefault="00A90AE3" w:rsidP="00A90AE3">
      <w:pPr>
        <w:pStyle w:val="Default"/>
        <w:pBdr>
          <w:bottom w:val="single" w:sz="4" w:space="1" w:color="auto"/>
        </w:pBdr>
        <w:jc w:val="both"/>
      </w:pPr>
      <w:r>
        <w:t xml:space="preserve">Připomínka 3: Zvyšování podílu lyceí na celkovém poměru žáků studujících na SŠ je vhodné v individuálních případech. Direktivně otevírat lyceální obory náhradou za rušené odborné obory např. typu M je ale třeba odmítnout. Důvodem je vysoký podíl všeobecného vzdělání v odborných oborech, které tak z tohoto hlediska nemají handicap oproti lyceím (viz výše). Druhým důvodem bude předpokládaná větší atraktivita čerstvého absolventa odborného oboru než lycea na trhu práce, Zaměstnavatelé ocení více odborných předmětů a vyšší hodinovou dotaci a také zpravidla systematičtější praxi. V případě elektrotechnického vzdělání zaměstnavatelé upřednostní absolventa odborného oboru před absolventem lycea z důvodu daného platnou legislativou: Aby pracovník mohl splnit požadavky na </w:t>
      </w:r>
      <w:r w:rsidRPr="00511361">
        <w:rPr>
          <w:i/>
          <w:iCs/>
        </w:rPr>
        <w:t>NV 194/2022Sb. o požadavcích na odbornou způsobilost k výkonu činností na elektrických zařízeních a na odbornou způsobilost v energetice</w:t>
      </w:r>
      <w:r>
        <w:t xml:space="preserve"> podle § 2 a) 1 musí mít ukončené vzdělání ze skupiny oborů 26 (to může být obor typu M, L nebo H). Obsahově nejbližší lyceální obor je 78-42-M/01 Technické lyceum nesplňuje tuto podmínku a stěží lze u něj uplatnit §2 a) 3 téhož NV. Elektrotechnické firmy o toho absolventa prostě nebudou stát. Tento příklad ukazuje návaznost (tradičních) odborných oborů na platnou legislativu. Třebaže lyceální vzdělávání má v systému SŠ své místo, nemá nahradit odborné obory, které jsou pro zabezpečení trhu práce kvalifikovanými absolventy klíčové. </w:t>
      </w:r>
    </w:p>
    <w:p w14:paraId="3CD10F33" w14:textId="07920909" w:rsidR="00A90AE3" w:rsidRPr="00A90AE3" w:rsidRDefault="00A90AE3" w:rsidP="00A90AE3">
      <w:pPr>
        <w:pBdr>
          <w:bottom w:val="single" w:sz="4" w:space="1" w:color="auto"/>
        </w:pBdr>
        <w:spacing w:after="240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tato připomínka je </w:t>
      </w:r>
      <w:r w:rsidRPr="00686C59">
        <w:rPr>
          <w:rFonts w:asciiTheme="minorHAnsi" w:hAnsiTheme="minorHAnsi" w:cstheme="minorHAnsi"/>
          <w:b/>
          <w:bCs/>
        </w:rPr>
        <w:t>zásadní</w:t>
      </w:r>
    </w:p>
    <w:p w14:paraId="4F451844" w14:textId="77777777" w:rsidR="00A90AE3" w:rsidRDefault="00A90AE3" w:rsidP="00A90AE3">
      <w:pPr>
        <w:pStyle w:val="Default"/>
        <w:jc w:val="both"/>
      </w:pPr>
      <w:r>
        <w:t xml:space="preserve">  </w:t>
      </w:r>
    </w:p>
    <w:p w14:paraId="28C0C3BE" w14:textId="77777777" w:rsidR="00A90AE3" w:rsidRPr="008B0196" w:rsidRDefault="00A90AE3" w:rsidP="00A90AE3">
      <w:pPr>
        <w:pStyle w:val="Default"/>
        <w:jc w:val="both"/>
        <w:rPr>
          <w:b/>
          <w:bCs/>
        </w:rPr>
      </w:pPr>
      <w:r w:rsidRPr="008B0196">
        <w:rPr>
          <w:b/>
          <w:bCs/>
        </w:rPr>
        <w:t>K bodu C2</w:t>
      </w:r>
    </w:p>
    <w:p w14:paraId="06221E1A" w14:textId="77777777" w:rsidR="00A90AE3" w:rsidRPr="00535355" w:rsidRDefault="00A90AE3" w:rsidP="00A90AE3">
      <w:pPr>
        <w:pStyle w:val="Default"/>
        <w:jc w:val="both"/>
        <w:rPr>
          <w:i/>
          <w:iCs/>
        </w:rPr>
      </w:pPr>
      <w:r w:rsidRPr="00535355">
        <w:rPr>
          <w:i/>
          <w:iCs/>
        </w:rPr>
        <w:t xml:space="preserve">„Vzhledem k plánovanému pyramidovému uspořádání obsahů učiva v nových oborech vzdělání (viz KA C.2.2) bude zváženo, zda širší základ všeobecného a obecně odborného učiva oborů vzdělání s odborným zaměřením neumožní spojení těchto oborů vzdělání s obory lyceálního charakteru.“       </w:t>
      </w:r>
    </w:p>
    <w:p w14:paraId="65E98942" w14:textId="77777777" w:rsidR="00A90AE3" w:rsidRDefault="00A90AE3" w:rsidP="00A90AE3">
      <w:pPr>
        <w:pStyle w:val="Default"/>
        <w:jc w:val="both"/>
      </w:pPr>
      <w:r>
        <w:t xml:space="preserve">Připomínka: Posílení všeobecného vzdělání v odborných oborech na úkor odborného vzdělání zpochybní realizaci praxe / odborného výcviku na pracovištích zaměstnavatelů. Aby měla praxe žáků u zaměstnavatelů smysl, musí mít žáci náležitou míru odborného vzdělání, včetně praktických cvičení nebo odborného výcviku, </w:t>
      </w:r>
      <w:proofErr w:type="gramStart"/>
      <w:r>
        <w:t>dříve</w:t>
      </w:r>
      <w:proofErr w:type="gramEnd"/>
      <w:r>
        <w:t xml:space="preserve"> než praxi u zaměstnavatele zahájí a poté v jejím průběhu. Praxe u zaměstnavatele náleží v učebním plánu do předmětů odborných, nikoli všeobecných. Redukce odborného vzdělání logicky bude redukcí praxí. DZ má naopak </w:t>
      </w:r>
      <w:r>
        <w:lastRenderedPageBreak/>
        <w:t xml:space="preserve">posilovat praxi a odborný výcvik žáků na pracovištích zaměstnavatelů čili když ne duální vzdělávání, tak alespoň prvky duálního vzdělávání. Spojení odborných a lyceálních oborů je třeba rovněž odmítnout. Lyceální obory sice obsahují praxi u zaměstnavatelů, díky nižší míře odborného vzdělání však tato praxe narazí na limit, co žák umí, a může tak zaměstnavateli nabídnout. Prvky duálního vzdělání lycea neumožňují prakticky vůbec.       </w:t>
      </w:r>
    </w:p>
    <w:p w14:paraId="4B43A38F" w14:textId="77777777" w:rsidR="00A90AE3" w:rsidRDefault="00A90AE3" w:rsidP="00A90AE3"/>
    <w:p w14:paraId="7CE68514" w14:textId="172F737E" w:rsidR="00A90AE3" w:rsidRDefault="00A90AE3" w:rsidP="00A90AE3">
      <w:pPr>
        <w:pBdr>
          <w:bottom w:val="single" w:sz="4" w:space="1" w:color="auto"/>
        </w:pBdr>
      </w:pPr>
      <w:r>
        <w:t>Bod C2 se de facto vůbec nezabývá návrhem opatření, které by měla vést k vyšší kvalitě gymnaziálního vzdělávání. Lze tedy nabýt dojmu, že tato nejsou potřeba. Není to podle mě v souladu s tím, jaký důraz je společností kladen na tento typ vzdělávání, který vyznívá jako téměř klíčový pro konkurenceschopnost a kvalitu naší společnosti. Doporučuji podívat se na gymnaziální vzdělávání optikou středního odborného školství a nastavit i zde opatření, která by vedla ke zvýšení jeho kvality jako celku.</w:t>
      </w:r>
    </w:p>
    <w:p w14:paraId="126E59DB" w14:textId="6CFF69B9" w:rsidR="00A90AE3" w:rsidRPr="00A90AE3" w:rsidRDefault="00A90AE3" w:rsidP="00A90AE3">
      <w:pPr>
        <w:pBdr>
          <w:bottom w:val="single" w:sz="4" w:space="1" w:color="auto"/>
        </w:pBdr>
        <w:spacing w:after="240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tato připomínka je </w:t>
      </w:r>
      <w:r w:rsidRPr="00686C59">
        <w:rPr>
          <w:rFonts w:asciiTheme="minorHAnsi" w:hAnsiTheme="minorHAnsi" w:cstheme="minorHAnsi"/>
          <w:b/>
          <w:bCs/>
        </w:rPr>
        <w:t>zásadní</w:t>
      </w:r>
    </w:p>
    <w:p w14:paraId="328C5231" w14:textId="77777777" w:rsidR="00A90AE3" w:rsidRDefault="00A90AE3" w:rsidP="00A90AE3"/>
    <w:p w14:paraId="23D85047" w14:textId="77777777" w:rsidR="00A90AE3" w:rsidRPr="00306780" w:rsidRDefault="00A90AE3" w:rsidP="00A90AE3">
      <w:pPr>
        <w:rPr>
          <w:rFonts w:asciiTheme="minorHAnsi" w:hAnsiTheme="minorHAnsi" w:cstheme="minorHAnsi"/>
          <w:bCs/>
        </w:rPr>
      </w:pPr>
      <w:r w:rsidRPr="00306780">
        <w:rPr>
          <w:rFonts w:asciiTheme="minorHAnsi" w:hAnsiTheme="minorHAnsi" w:cstheme="minorHAnsi"/>
          <w:bCs/>
        </w:rPr>
        <w:t xml:space="preserve">Kontaktní osobou pro připomínkové řízení je: </w:t>
      </w:r>
    </w:p>
    <w:p w14:paraId="4ABE5E9F" w14:textId="77777777" w:rsidR="00F86123" w:rsidRDefault="00A90AE3" w:rsidP="00A90AE3">
      <w:r>
        <w:t xml:space="preserve">Ing. Jiří Zajíček, </w:t>
      </w:r>
      <w:r>
        <w:rPr>
          <w:lang w:eastAsia="cs-CZ"/>
        </w:rPr>
        <w:t xml:space="preserve">e-mail: </w:t>
      </w:r>
      <w:hyperlink r:id="rId8" w:history="1">
        <w:r>
          <w:rPr>
            <w:rStyle w:val="Hypertextovodkaz"/>
            <w:lang w:eastAsia="cs-CZ"/>
          </w:rPr>
          <w:t>jiri.zajicek@mssch.cz</w:t>
        </w:r>
      </w:hyperlink>
      <w:r>
        <w:rPr>
          <w:lang w:eastAsia="cs-CZ"/>
        </w:rPr>
        <w:t>, tel. 603 89 77 89</w:t>
      </w:r>
      <w:r>
        <w:t xml:space="preserve"> </w:t>
      </w:r>
    </w:p>
    <w:p w14:paraId="2C8262C3" w14:textId="77777777" w:rsidR="00BA2DF6" w:rsidRDefault="00BA2DF6" w:rsidP="00A90AE3"/>
    <w:p w14:paraId="09DA4C23" w14:textId="77777777" w:rsidR="00BA2DF6" w:rsidRDefault="00BA2DF6" w:rsidP="00A90AE3"/>
    <w:p w14:paraId="716A81C3" w14:textId="77777777" w:rsidR="00E23650" w:rsidRPr="009B60D5" w:rsidRDefault="00E23650" w:rsidP="00E23650">
      <w:pPr>
        <w:pStyle w:val="Zhlav"/>
        <w:jc w:val="center"/>
        <w:rPr>
          <w:rFonts w:ascii="Arial" w:hAnsi="Arial" w:cs="Arial"/>
          <w:b/>
          <w:sz w:val="28"/>
          <w:szCs w:val="28"/>
        </w:rPr>
      </w:pPr>
      <w:r w:rsidRPr="009B60D5">
        <w:rPr>
          <w:rFonts w:ascii="Arial" w:hAnsi="Arial" w:cs="Arial"/>
          <w:b/>
          <w:sz w:val="28"/>
          <w:szCs w:val="28"/>
        </w:rPr>
        <w:t>Připomínky Svazu podnikatelů ve stavebnictví k </w:t>
      </w:r>
      <w:proofErr w:type="gramStart"/>
      <w:r w:rsidRPr="009B60D5">
        <w:rPr>
          <w:rFonts w:ascii="Arial" w:hAnsi="Arial" w:cs="Arial"/>
          <w:b/>
          <w:sz w:val="28"/>
          <w:szCs w:val="28"/>
        </w:rPr>
        <w:t xml:space="preserve">návrhu </w:t>
      </w:r>
      <w:r>
        <w:rPr>
          <w:rFonts w:ascii="Arial" w:hAnsi="Arial" w:cs="Arial"/>
          <w:b/>
          <w:sz w:val="28"/>
          <w:szCs w:val="28"/>
        </w:rPr>
        <w:t>,,</w:t>
      </w:r>
      <w:r w:rsidRPr="009B60D5">
        <w:rPr>
          <w:rFonts w:ascii="Arial" w:hAnsi="Arial" w:cs="Arial"/>
          <w:b/>
          <w:bCs/>
          <w:sz w:val="28"/>
          <w:szCs w:val="28"/>
        </w:rPr>
        <w:t>Dlouhodobého</w:t>
      </w:r>
      <w:proofErr w:type="gramEnd"/>
      <w:r w:rsidRPr="009B60D5">
        <w:rPr>
          <w:rFonts w:ascii="Arial" w:hAnsi="Arial" w:cs="Arial"/>
          <w:b/>
          <w:bCs/>
          <w:sz w:val="28"/>
          <w:szCs w:val="28"/>
        </w:rPr>
        <w:t xml:space="preserve"> záměru vzdělávání a rozvoje vzdělávací soustavy České republiky na období 2023-2027</w:t>
      </w:r>
      <w:r>
        <w:rPr>
          <w:rFonts w:ascii="Arial" w:hAnsi="Arial" w:cs="Arial"/>
          <w:b/>
          <w:bCs/>
          <w:sz w:val="28"/>
          <w:szCs w:val="28"/>
        </w:rPr>
        <w:t>“</w:t>
      </w:r>
    </w:p>
    <w:p w14:paraId="1E010DBA" w14:textId="77777777" w:rsidR="00E23650" w:rsidRDefault="00E23650" w:rsidP="00E23650">
      <w:pPr>
        <w:jc w:val="both"/>
        <w:rPr>
          <w:rFonts w:ascii="Arial" w:hAnsi="Arial" w:cs="Arial"/>
        </w:rPr>
      </w:pPr>
      <w:r w:rsidRPr="008709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29786406" w14:textId="77777777" w:rsidR="00E23650" w:rsidRPr="008709F7" w:rsidRDefault="00E23650" w:rsidP="00E23650">
      <w:pPr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X="29" w:tblpY="87"/>
        <w:tblOverlap w:val="never"/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2002"/>
        <w:gridCol w:w="3552"/>
        <w:gridCol w:w="2050"/>
      </w:tblGrid>
      <w:tr w:rsidR="00E23650" w:rsidRPr="00560291" w14:paraId="558ECE40" w14:textId="77777777" w:rsidTr="0038142A">
        <w:trPr>
          <w:trHeight w:val="279"/>
          <w:tblHeader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A210A7" w14:textId="77777777" w:rsidR="00E23650" w:rsidRPr="00560291" w:rsidRDefault="00E23650" w:rsidP="0038142A">
            <w:pPr>
              <w:jc w:val="both"/>
              <w:rPr>
                <w:rFonts w:ascii="Arial" w:hAnsi="Arial" w:cs="Arial"/>
                <w:b/>
                <w:bCs/>
              </w:rPr>
            </w:pPr>
            <w:r w:rsidRPr="00560291">
              <w:rPr>
                <w:rFonts w:ascii="Arial" w:hAnsi="Arial" w:cs="Arial"/>
                <w:b/>
                <w:bCs/>
              </w:rPr>
              <w:t xml:space="preserve">Organizace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657B50" w14:textId="77777777" w:rsidR="00E23650" w:rsidRPr="00560291" w:rsidRDefault="00E23650" w:rsidP="0038142A">
            <w:pPr>
              <w:jc w:val="both"/>
              <w:rPr>
                <w:rFonts w:ascii="Arial" w:hAnsi="Arial" w:cs="Arial"/>
                <w:b/>
                <w:bCs/>
              </w:rPr>
            </w:pPr>
            <w:r w:rsidRPr="00560291">
              <w:rPr>
                <w:rFonts w:ascii="Arial" w:hAnsi="Arial" w:cs="Arial"/>
                <w:b/>
                <w:bCs/>
              </w:rPr>
              <w:t>Část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3858B7" w14:textId="77777777" w:rsidR="00E23650" w:rsidRPr="00560291" w:rsidRDefault="00E23650" w:rsidP="0038142A">
            <w:pPr>
              <w:jc w:val="both"/>
              <w:rPr>
                <w:rFonts w:ascii="Arial" w:hAnsi="Arial" w:cs="Arial"/>
                <w:b/>
                <w:bCs/>
              </w:rPr>
            </w:pPr>
            <w:r w:rsidRPr="00560291">
              <w:rPr>
                <w:rFonts w:ascii="Arial" w:hAnsi="Arial" w:cs="Arial"/>
                <w:b/>
                <w:bCs/>
              </w:rPr>
              <w:t>Připomínka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B06E93" w14:textId="77777777" w:rsidR="00E23650" w:rsidRPr="00560291" w:rsidRDefault="00E23650" w:rsidP="0038142A">
            <w:pPr>
              <w:jc w:val="both"/>
              <w:rPr>
                <w:rFonts w:ascii="Arial" w:hAnsi="Arial" w:cs="Arial"/>
                <w:b/>
                <w:bCs/>
              </w:rPr>
            </w:pPr>
            <w:r w:rsidRPr="00560291">
              <w:rPr>
                <w:rFonts w:ascii="Arial" w:hAnsi="Arial" w:cs="Arial"/>
                <w:b/>
                <w:bCs/>
              </w:rPr>
              <w:t>Vypořádání</w:t>
            </w:r>
          </w:p>
        </w:tc>
      </w:tr>
      <w:tr w:rsidR="00E23650" w:rsidRPr="00560291" w14:paraId="1F245AC5" w14:textId="77777777" w:rsidTr="0038142A">
        <w:trPr>
          <w:trHeight w:val="337"/>
        </w:trPr>
        <w:tc>
          <w:tcPr>
            <w:tcW w:w="7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90" w:type="dxa"/>
            </w:tcMar>
          </w:tcPr>
          <w:p w14:paraId="628B46B6" w14:textId="77777777" w:rsidR="00E23650" w:rsidRDefault="00E23650" w:rsidP="0038142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SPS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90" w:type="dxa"/>
            </w:tcMar>
          </w:tcPr>
          <w:p w14:paraId="1424AFAD" w14:textId="77777777" w:rsidR="00E23650" w:rsidRPr="005C7808" w:rsidRDefault="00E23650" w:rsidP="003814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C7808">
              <w:rPr>
                <w:rFonts w:ascii="Arial" w:hAnsi="Arial" w:cs="Arial"/>
                <w:b/>
              </w:rPr>
              <w:t>2 PRIORITY MŠMT</w:t>
            </w:r>
            <w:r w:rsidRPr="005C7808">
              <w:rPr>
                <w:rFonts w:ascii="Arial" w:hAnsi="Arial" w:cs="Arial"/>
              </w:rPr>
              <w:t xml:space="preserve"> (str. 21)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90" w:type="dxa"/>
            </w:tcMar>
          </w:tcPr>
          <w:p w14:paraId="5E74477A" w14:textId="77777777" w:rsidR="00E23650" w:rsidRDefault="00E23650" w:rsidP="0038142A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Do odstavce </w:t>
            </w:r>
            <w:r w:rsidRPr="005C7808">
              <w:rPr>
                <w:rFonts w:ascii="Arial" w:hAnsi="Arial" w:cs="Arial"/>
                <w:b/>
                <w:szCs w:val="28"/>
              </w:rPr>
              <w:t>Priorita I. Děti a Mládež</w:t>
            </w:r>
            <w:r>
              <w:rPr>
                <w:rFonts w:ascii="Arial" w:hAnsi="Arial" w:cs="Arial"/>
                <w:szCs w:val="28"/>
              </w:rPr>
              <w:t xml:space="preserve"> požadujeme zařadit bod 7.:</w:t>
            </w:r>
          </w:p>
          <w:p w14:paraId="2DE70609" w14:textId="77777777" w:rsidR="00E23650" w:rsidRPr="007D34FE" w:rsidRDefault="00E23650" w:rsidP="0038142A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b/>
                <w:i/>
                <w:color w:val="C45911"/>
                <w:lang w:eastAsia="cs-CZ"/>
              </w:rPr>
              <w:t xml:space="preserve">„7. důraz na posilování </w:t>
            </w:r>
            <w:r w:rsidRPr="00773356">
              <w:rPr>
                <w:rFonts w:ascii="Arial" w:hAnsi="Arial" w:cs="Arial"/>
                <w:b/>
                <w:i/>
                <w:color w:val="C45911"/>
                <w:lang w:eastAsia="cs-CZ"/>
              </w:rPr>
              <w:t>základní technick</w:t>
            </w:r>
            <w:r>
              <w:rPr>
                <w:rFonts w:ascii="Arial" w:hAnsi="Arial" w:cs="Arial"/>
                <w:b/>
                <w:i/>
                <w:color w:val="C45911"/>
                <w:lang w:eastAsia="cs-CZ"/>
              </w:rPr>
              <w:t xml:space="preserve">é gramotnosti, </w:t>
            </w:r>
            <w:proofErr w:type="gramStart"/>
            <w:r>
              <w:rPr>
                <w:rFonts w:ascii="Arial" w:hAnsi="Arial" w:cs="Arial"/>
                <w:b/>
                <w:i/>
                <w:color w:val="C45911"/>
                <w:lang w:eastAsia="cs-CZ"/>
              </w:rPr>
              <w:t>manuální zručnosti</w:t>
            </w:r>
            <w:proofErr w:type="gramEnd"/>
            <w:r>
              <w:rPr>
                <w:rFonts w:ascii="Arial" w:hAnsi="Arial" w:cs="Arial"/>
                <w:b/>
                <w:i/>
                <w:color w:val="C45911"/>
                <w:lang w:eastAsia="cs-CZ"/>
              </w:rPr>
              <w:t xml:space="preserve"> a polytechnické výchovy.“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DF64A2" w14:textId="77777777" w:rsidR="00E23650" w:rsidRPr="00560291" w:rsidRDefault="00E23650" w:rsidP="003814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cs-CZ"/>
              </w:rPr>
            </w:pPr>
          </w:p>
        </w:tc>
      </w:tr>
      <w:tr w:rsidR="00E23650" w:rsidRPr="00560291" w14:paraId="271E67F6" w14:textId="77777777" w:rsidTr="0038142A">
        <w:trPr>
          <w:trHeight w:val="337"/>
        </w:trPr>
        <w:tc>
          <w:tcPr>
            <w:tcW w:w="7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90" w:type="dxa"/>
            </w:tcMar>
          </w:tcPr>
          <w:p w14:paraId="50BAE8B8" w14:textId="77777777" w:rsidR="00E23650" w:rsidRDefault="00E23650" w:rsidP="0038142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SPS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90" w:type="dxa"/>
            </w:tcMar>
          </w:tcPr>
          <w:p w14:paraId="2D7EBAAE" w14:textId="77777777" w:rsidR="00E23650" w:rsidRPr="005C7808" w:rsidRDefault="00E23650" w:rsidP="003814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C7808">
              <w:rPr>
                <w:rFonts w:ascii="Arial" w:hAnsi="Arial" w:cs="Arial"/>
                <w:b/>
              </w:rPr>
              <w:t>2 PRIORITY MŠMT</w:t>
            </w:r>
            <w:r>
              <w:rPr>
                <w:rFonts w:ascii="Arial" w:hAnsi="Arial" w:cs="Arial"/>
              </w:rPr>
              <w:t xml:space="preserve"> (str. 22</w:t>
            </w:r>
            <w:r w:rsidRPr="005C7808">
              <w:rPr>
                <w:rFonts w:ascii="Arial" w:hAnsi="Arial" w:cs="Arial"/>
              </w:rPr>
              <w:t>)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90" w:type="dxa"/>
            </w:tcMar>
          </w:tcPr>
          <w:p w14:paraId="71CC64E6" w14:textId="77777777" w:rsidR="00E23650" w:rsidRDefault="00E23650" w:rsidP="0038142A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Do odstavce </w:t>
            </w:r>
            <w:r w:rsidRPr="005C7808">
              <w:rPr>
                <w:rFonts w:ascii="Arial" w:hAnsi="Arial" w:cs="Arial"/>
                <w:b/>
                <w:szCs w:val="28"/>
              </w:rPr>
              <w:t>Priorita I</w:t>
            </w:r>
            <w:r>
              <w:rPr>
                <w:rFonts w:ascii="Arial" w:hAnsi="Arial" w:cs="Arial"/>
                <w:b/>
                <w:szCs w:val="28"/>
              </w:rPr>
              <w:t>II</w:t>
            </w:r>
            <w:r w:rsidRPr="005C7808">
              <w:rPr>
                <w:rFonts w:ascii="Arial" w:hAnsi="Arial" w:cs="Arial"/>
                <w:b/>
                <w:szCs w:val="28"/>
              </w:rPr>
              <w:t xml:space="preserve">. </w:t>
            </w:r>
            <w:r>
              <w:rPr>
                <w:rFonts w:ascii="Arial" w:hAnsi="Arial" w:cs="Arial"/>
                <w:b/>
                <w:szCs w:val="28"/>
              </w:rPr>
              <w:t>Efektivní systém školství</w:t>
            </w:r>
            <w:r>
              <w:rPr>
                <w:rFonts w:ascii="Arial" w:hAnsi="Arial" w:cs="Arial"/>
                <w:szCs w:val="28"/>
              </w:rPr>
              <w:t xml:space="preserve"> požadujeme zařadit bod 14.:</w:t>
            </w:r>
          </w:p>
          <w:p w14:paraId="4947B487" w14:textId="77777777" w:rsidR="00E23650" w:rsidRDefault="00E23650" w:rsidP="0038142A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b/>
                <w:i/>
                <w:color w:val="C45911"/>
                <w:lang w:eastAsia="cs-CZ"/>
              </w:rPr>
              <w:t>„14. důraz na provázanost vzdělávání s požadavky trhu.“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E58B50" w14:textId="77777777" w:rsidR="00E23650" w:rsidRPr="00560291" w:rsidRDefault="00E23650" w:rsidP="003814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cs-CZ"/>
              </w:rPr>
            </w:pPr>
          </w:p>
        </w:tc>
      </w:tr>
      <w:tr w:rsidR="00E23650" w:rsidRPr="00560291" w14:paraId="781A8851" w14:textId="77777777" w:rsidTr="0038142A">
        <w:trPr>
          <w:trHeight w:val="337"/>
        </w:trPr>
        <w:tc>
          <w:tcPr>
            <w:tcW w:w="7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90" w:type="dxa"/>
            </w:tcMar>
          </w:tcPr>
          <w:p w14:paraId="5487116C" w14:textId="77777777" w:rsidR="00E23650" w:rsidRPr="008709F7" w:rsidRDefault="00E23650" w:rsidP="0038142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SPS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90" w:type="dxa"/>
            </w:tcMar>
          </w:tcPr>
          <w:p w14:paraId="5CB439E5" w14:textId="77777777" w:rsidR="00E23650" w:rsidRDefault="00E23650" w:rsidP="003814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STRATEGIE ROZVOJE REGIONÁLNÍHO ŠKOLSTVÍ</w:t>
            </w:r>
          </w:p>
          <w:p w14:paraId="091DE1FB" w14:textId="77777777" w:rsidR="00E23650" w:rsidRDefault="00E23650" w:rsidP="003814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 B</w:t>
            </w:r>
            <w:r w:rsidRPr="005D17B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Moderní základní </w:t>
            </w:r>
            <w:r>
              <w:rPr>
                <w:rFonts w:ascii="Arial" w:hAnsi="Arial" w:cs="Arial"/>
                <w:b/>
              </w:rPr>
              <w:lastRenderedPageBreak/>
              <w:t>vzdělání pro 21. století</w:t>
            </w:r>
          </w:p>
          <w:p w14:paraId="5A732137" w14:textId="77777777" w:rsidR="00E23650" w:rsidRDefault="00E23650" w:rsidP="003814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5D17BD">
              <w:rPr>
                <w:rFonts w:ascii="Arial" w:hAnsi="Arial" w:cs="Arial"/>
              </w:rPr>
              <w:t xml:space="preserve">str. </w:t>
            </w:r>
            <w:r>
              <w:rPr>
                <w:rFonts w:ascii="Arial" w:hAnsi="Arial" w:cs="Arial"/>
              </w:rPr>
              <w:t>41)</w:t>
            </w:r>
          </w:p>
          <w:p w14:paraId="0DCE1C51" w14:textId="77777777" w:rsidR="00E23650" w:rsidRDefault="00E23650" w:rsidP="003814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- </w:t>
            </w:r>
            <w:r w:rsidRPr="00773356">
              <w:rPr>
                <w:rFonts w:ascii="Arial" w:hAnsi="Arial" w:cs="Arial"/>
                <w:b/>
              </w:rPr>
              <w:t>B.1 Dokončení revize RVP ZV</w:t>
            </w:r>
          </w:p>
          <w:p w14:paraId="37210107" w14:textId="77777777" w:rsidR="00E23650" w:rsidRDefault="00E23650" w:rsidP="003814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5D17BD">
              <w:rPr>
                <w:rFonts w:ascii="Arial" w:hAnsi="Arial" w:cs="Arial"/>
              </w:rPr>
              <w:t xml:space="preserve">str. </w:t>
            </w:r>
            <w:r>
              <w:rPr>
                <w:rFonts w:ascii="Arial" w:hAnsi="Arial" w:cs="Arial"/>
              </w:rPr>
              <w:t>42)</w:t>
            </w:r>
          </w:p>
          <w:p w14:paraId="08314CD4" w14:textId="77777777" w:rsidR="00E23650" w:rsidRPr="005D17BD" w:rsidRDefault="00E23650" w:rsidP="003814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90" w:type="dxa"/>
            </w:tcMar>
          </w:tcPr>
          <w:p w14:paraId="665D07FA" w14:textId="77777777" w:rsidR="00E23650" w:rsidRDefault="00E23650" w:rsidP="0038142A">
            <w:pPr>
              <w:rPr>
                <w:rFonts w:ascii="Arial" w:hAnsi="Arial" w:cs="Arial"/>
                <w:szCs w:val="28"/>
              </w:rPr>
            </w:pPr>
            <w:r w:rsidRPr="007D34FE">
              <w:rPr>
                <w:rFonts w:ascii="Arial" w:hAnsi="Arial" w:cs="Arial"/>
                <w:szCs w:val="28"/>
              </w:rPr>
              <w:lastRenderedPageBreak/>
              <w:t>Základy technické gramotnosti a řemeslné zručnosti musí být součástí základního vzdělávání.</w:t>
            </w:r>
          </w:p>
          <w:p w14:paraId="1A07ED0C" w14:textId="77777777" w:rsidR="00E23650" w:rsidRDefault="00E23650" w:rsidP="0038142A">
            <w:pPr>
              <w:rPr>
                <w:rFonts w:ascii="Arial" w:hAnsi="Arial" w:cs="Arial"/>
                <w:szCs w:val="28"/>
              </w:rPr>
            </w:pPr>
          </w:p>
          <w:p w14:paraId="3D1D9610" w14:textId="77777777" w:rsidR="00E23650" w:rsidRDefault="00E23650" w:rsidP="0038142A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Do části </w:t>
            </w:r>
            <w:r w:rsidRPr="000F78F6">
              <w:rPr>
                <w:rFonts w:ascii="Arial" w:hAnsi="Arial" w:cs="Arial"/>
                <w:b/>
                <w:szCs w:val="28"/>
              </w:rPr>
              <w:t>Popis cíle</w:t>
            </w:r>
            <w:r>
              <w:rPr>
                <w:rFonts w:ascii="Arial" w:hAnsi="Arial" w:cs="Arial"/>
                <w:szCs w:val="28"/>
              </w:rPr>
              <w:t>, 2. odstavec, požadujeme upravit a doplnit:</w:t>
            </w:r>
          </w:p>
          <w:p w14:paraId="3312C033" w14:textId="77777777" w:rsidR="00E23650" w:rsidRPr="00773356" w:rsidRDefault="00E23650" w:rsidP="0038142A">
            <w:pPr>
              <w:rPr>
                <w:rFonts w:ascii="Arial" w:hAnsi="Arial" w:cs="Arial"/>
                <w:b/>
                <w:i/>
                <w:color w:val="C45911"/>
                <w:sz w:val="18"/>
                <w:szCs w:val="18"/>
                <w:lang w:eastAsia="cs-CZ"/>
              </w:rPr>
            </w:pPr>
            <w:r w:rsidRPr="00773356">
              <w:rPr>
                <w:rFonts w:ascii="Arial" w:hAnsi="Arial" w:cs="Arial"/>
                <w:b/>
                <w:i/>
                <w:lang w:eastAsia="cs-CZ"/>
              </w:rPr>
              <w:lastRenderedPageBreak/>
              <w:t>„Cílem priority je přispět ke změně vzdělávacího obsahu tak, abychom lépe pomáhali žákům připravit se na</w:t>
            </w:r>
            <w:r>
              <w:rPr>
                <w:rFonts w:ascii="Arial" w:hAnsi="Arial" w:cs="Arial"/>
                <w:b/>
                <w:i/>
                <w:lang w:eastAsia="cs-CZ"/>
              </w:rPr>
              <w:t> </w:t>
            </w:r>
            <w:r w:rsidRPr="00773356">
              <w:rPr>
                <w:rFonts w:ascii="Arial" w:hAnsi="Arial" w:cs="Arial"/>
                <w:b/>
                <w:i/>
                <w:lang w:eastAsia="cs-CZ"/>
              </w:rPr>
              <w:t>zrychlující</w:t>
            </w:r>
            <w:r>
              <w:rPr>
                <w:rFonts w:ascii="Arial" w:hAnsi="Arial" w:cs="Arial"/>
                <w:b/>
                <w:i/>
                <w:lang w:eastAsia="cs-CZ"/>
              </w:rPr>
              <w:t> </w:t>
            </w:r>
            <w:r w:rsidRPr="00773356">
              <w:rPr>
                <w:rFonts w:ascii="Arial" w:hAnsi="Arial" w:cs="Arial"/>
                <w:b/>
                <w:i/>
                <w:lang w:eastAsia="cs-CZ"/>
              </w:rPr>
              <w:t xml:space="preserve">se změny světa především v oblasti sociální, </w:t>
            </w:r>
            <w:r w:rsidRPr="00773356">
              <w:rPr>
                <w:rFonts w:ascii="Arial" w:hAnsi="Arial" w:cs="Arial"/>
                <w:b/>
                <w:i/>
                <w:color w:val="C45911"/>
                <w:lang w:eastAsia="cs-CZ"/>
              </w:rPr>
              <w:t>environmentální, technické a technologické, ale také oblasti základní technické gramotnosti a manuální dovednosti</w:t>
            </w:r>
            <w:r w:rsidRPr="00773356">
              <w:rPr>
                <w:rFonts w:ascii="Arial" w:hAnsi="Arial" w:cs="Arial"/>
                <w:b/>
                <w:i/>
                <w:lang w:eastAsia="cs-CZ"/>
              </w:rPr>
              <w:t>, aby</w:t>
            </w:r>
            <w:r>
              <w:rPr>
                <w:rFonts w:ascii="Arial" w:hAnsi="Arial" w:cs="Arial"/>
                <w:b/>
                <w:i/>
                <w:lang w:eastAsia="cs-CZ"/>
              </w:rPr>
              <w:t> </w:t>
            </w:r>
            <w:r w:rsidRPr="00773356">
              <w:rPr>
                <w:rFonts w:ascii="Arial" w:hAnsi="Arial" w:cs="Arial"/>
                <w:b/>
                <w:i/>
                <w:lang w:eastAsia="cs-CZ"/>
              </w:rPr>
              <w:t>mohli aktivně a odpovědně tvořit udržitelnou budoucnost.“</w:t>
            </w:r>
          </w:p>
          <w:p w14:paraId="71643CF1" w14:textId="77777777" w:rsidR="00E23650" w:rsidRDefault="00E23650" w:rsidP="0038142A">
            <w:pPr>
              <w:rPr>
                <w:rFonts w:ascii="Arial" w:hAnsi="Arial" w:cs="Arial"/>
                <w:szCs w:val="28"/>
              </w:rPr>
            </w:pPr>
          </w:p>
          <w:p w14:paraId="2D82D047" w14:textId="77777777" w:rsidR="00E23650" w:rsidRDefault="00E23650" w:rsidP="0038142A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Do části </w:t>
            </w:r>
            <w:r>
              <w:rPr>
                <w:rFonts w:ascii="Arial" w:hAnsi="Arial" w:cs="Arial"/>
                <w:b/>
                <w:szCs w:val="28"/>
              </w:rPr>
              <w:t>Zdůvodnění potřebnosti</w:t>
            </w:r>
            <w:r>
              <w:rPr>
                <w:rFonts w:ascii="Arial" w:hAnsi="Arial" w:cs="Arial"/>
                <w:szCs w:val="28"/>
              </w:rPr>
              <w:t xml:space="preserve"> požadujeme doplnit odstavec:</w:t>
            </w:r>
          </w:p>
          <w:p w14:paraId="0E7D0ED6" w14:textId="77777777" w:rsidR="00E23650" w:rsidRDefault="00E23650" w:rsidP="0038142A">
            <w:pPr>
              <w:rPr>
                <w:rFonts w:ascii="Arial" w:hAnsi="Arial" w:cs="Arial"/>
                <w:b/>
                <w:i/>
                <w:color w:val="C45911"/>
                <w:lang w:eastAsia="cs-CZ"/>
              </w:rPr>
            </w:pPr>
            <w:r>
              <w:rPr>
                <w:rFonts w:ascii="Arial" w:hAnsi="Arial" w:cs="Arial"/>
                <w:b/>
                <w:i/>
                <w:color w:val="C45911"/>
                <w:lang w:eastAsia="cs-CZ"/>
              </w:rPr>
              <w:t>„</w:t>
            </w:r>
            <w:r w:rsidRPr="00773356">
              <w:rPr>
                <w:rFonts w:ascii="Arial" w:hAnsi="Arial" w:cs="Arial"/>
                <w:b/>
                <w:i/>
                <w:color w:val="C45911"/>
                <w:lang w:eastAsia="cs-CZ"/>
              </w:rPr>
              <w:t>Již dlouhou dobu jsme a stále ještě budeme především průmyslovou zemí. Hospodářský růst České republiky byl a je spojen s technickým pokrokem, nerozlučně spjatým s řemeslným umem. Rámcově vzdělávací program základního vzdělávání reflektuje tento stav a bude obsahovat základy technické gramotnosti a řemeslné zručnosti.</w:t>
            </w:r>
            <w:r>
              <w:rPr>
                <w:rFonts w:ascii="Arial" w:hAnsi="Arial" w:cs="Arial"/>
                <w:b/>
                <w:i/>
                <w:color w:val="C45911"/>
                <w:lang w:eastAsia="cs-CZ"/>
              </w:rPr>
              <w:t>“</w:t>
            </w:r>
          </w:p>
          <w:p w14:paraId="6EAECF74" w14:textId="77777777" w:rsidR="00E23650" w:rsidRDefault="00E23650" w:rsidP="0038142A">
            <w:pPr>
              <w:rPr>
                <w:rFonts w:ascii="Arial" w:hAnsi="Arial" w:cs="Arial"/>
                <w:b/>
                <w:i/>
                <w:color w:val="C45911"/>
                <w:lang w:eastAsia="cs-CZ"/>
              </w:rPr>
            </w:pPr>
          </w:p>
          <w:p w14:paraId="43597952" w14:textId="77777777" w:rsidR="00E23650" w:rsidRDefault="00E23650" w:rsidP="0038142A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V </w:t>
            </w:r>
            <w:proofErr w:type="gramStart"/>
            <w:r>
              <w:rPr>
                <w:rFonts w:ascii="Arial" w:hAnsi="Arial" w:cs="Arial"/>
                <w:szCs w:val="28"/>
              </w:rPr>
              <w:t xml:space="preserve">části  </w:t>
            </w:r>
            <w:r w:rsidRPr="00E20CEA">
              <w:rPr>
                <w:rFonts w:ascii="Arial" w:hAnsi="Arial" w:cs="Arial"/>
                <w:b/>
                <w:szCs w:val="28"/>
              </w:rPr>
              <w:t>Opatření</w:t>
            </w:r>
            <w:proofErr w:type="gramEnd"/>
            <w:r w:rsidRPr="00E20CEA">
              <w:rPr>
                <w:rFonts w:ascii="Arial" w:hAnsi="Arial" w:cs="Arial"/>
                <w:b/>
                <w:szCs w:val="28"/>
              </w:rPr>
              <w:t xml:space="preserve"> B.1 Dokončení revize RVP ZV</w:t>
            </w:r>
            <w:r>
              <w:rPr>
                <w:rFonts w:ascii="Arial" w:hAnsi="Arial" w:cs="Arial"/>
                <w:szCs w:val="28"/>
              </w:rPr>
              <w:t xml:space="preserve"> požadujeme doplnit odstavec:</w:t>
            </w:r>
          </w:p>
          <w:p w14:paraId="5A901315" w14:textId="77777777" w:rsidR="00E23650" w:rsidRPr="007D10C8" w:rsidRDefault="00E23650" w:rsidP="0038142A">
            <w:pPr>
              <w:rPr>
                <w:rFonts w:ascii="Arial" w:hAnsi="Arial" w:cs="Arial"/>
                <w:b/>
                <w:i/>
                <w:color w:val="C45911"/>
                <w:lang w:eastAsia="cs-CZ"/>
              </w:rPr>
            </w:pPr>
            <w:r w:rsidRPr="007D10C8">
              <w:rPr>
                <w:rFonts w:ascii="Arial" w:hAnsi="Arial" w:cs="Arial"/>
                <w:b/>
                <w:i/>
                <w:color w:val="C45911"/>
                <w:lang w:eastAsia="cs-CZ"/>
              </w:rPr>
              <w:t>„Byli jsme a jsme průmyslovou zemí, rámcově vzdělávací program základního vzdělávání, bude</w:t>
            </w:r>
            <w:r>
              <w:rPr>
                <w:rFonts w:ascii="Arial" w:hAnsi="Arial" w:cs="Arial"/>
                <w:b/>
                <w:i/>
                <w:color w:val="C45911"/>
                <w:lang w:eastAsia="cs-CZ"/>
              </w:rPr>
              <w:t> </w:t>
            </w:r>
            <w:r w:rsidRPr="007D10C8">
              <w:rPr>
                <w:rFonts w:ascii="Arial" w:hAnsi="Arial" w:cs="Arial"/>
                <w:b/>
                <w:i/>
                <w:color w:val="C45911"/>
                <w:lang w:eastAsia="cs-CZ"/>
              </w:rPr>
              <w:t>obsahovat základy technické gramotnosti a</w:t>
            </w:r>
            <w:r>
              <w:rPr>
                <w:rFonts w:ascii="Arial" w:hAnsi="Arial" w:cs="Arial"/>
                <w:b/>
                <w:i/>
                <w:color w:val="C45911"/>
                <w:lang w:eastAsia="cs-CZ"/>
              </w:rPr>
              <w:t> </w:t>
            </w:r>
            <w:r w:rsidRPr="007D10C8">
              <w:rPr>
                <w:rFonts w:ascii="Arial" w:hAnsi="Arial" w:cs="Arial"/>
                <w:b/>
                <w:i/>
                <w:color w:val="C45911"/>
                <w:lang w:eastAsia="cs-CZ"/>
              </w:rPr>
              <w:t>řemeslné zručnosti“.</w:t>
            </w:r>
          </w:p>
          <w:p w14:paraId="6438F3BA" w14:textId="77777777" w:rsidR="00E23650" w:rsidRDefault="00E23650" w:rsidP="0038142A">
            <w:pPr>
              <w:rPr>
                <w:rFonts w:ascii="Arial" w:hAnsi="Arial" w:cs="Arial"/>
                <w:szCs w:val="28"/>
              </w:rPr>
            </w:pPr>
          </w:p>
          <w:p w14:paraId="77EB245F" w14:textId="77777777" w:rsidR="00E23650" w:rsidRDefault="00E23650" w:rsidP="0038142A">
            <w:pPr>
              <w:rPr>
                <w:rFonts w:ascii="Arial" w:hAnsi="Arial" w:cs="Arial"/>
                <w:szCs w:val="28"/>
              </w:rPr>
            </w:pPr>
            <w:r w:rsidRPr="007D34FE">
              <w:rPr>
                <w:rFonts w:ascii="Arial" w:hAnsi="Arial" w:cs="Arial"/>
                <w:szCs w:val="28"/>
              </w:rPr>
              <w:t>Zdůvodnění:</w:t>
            </w:r>
          </w:p>
          <w:p w14:paraId="12DF4FBE" w14:textId="77777777" w:rsidR="00E23650" w:rsidRPr="000F78F6" w:rsidRDefault="00E23650" w:rsidP="0038142A">
            <w:pPr>
              <w:rPr>
                <w:rFonts w:ascii="Arial" w:hAnsi="Arial" w:cs="Arial"/>
                <w:szCs w:val="28"/>
              </w:rPr>
            </w:pPr>
            <w:r w:rsidRPr="000F78F6">
              <w:rPr>
                <w:rFonts w:ascii="Arial" w:hAnsi="Arial" w:cs="Arial"/>
                <w:iCs/>
                <w:szCs w:val="28"/>
              </w:rPr>
              <w:t>Byli jsme a jsme průmyslovou zemí.</w:t>
            </w:r>
            <w:r w:rsidRPr="000F78F6">
              <w:rPr>
                <w:rFonts w:ascii="Arial" w:hAnsi="Arial" w:cs="Arial"/>
                <w:szCs w:val="28"/>
              </w:rPr>
              <w:t xml:space="preserve"> Hospodářský růst České </w:t>
            </w:r>
            <w:r w:rsidRPr="000F78F6">
              <w:rPr>
                <w:rFonts w:ascii="Arial" w:hAnsi="Arial" w:cs="Arial"/>
                <w:szCs w:val="28"/>
              </w:rPr>
              <w:lastRenderedPageBreak/>
              <w:t>republiky byl a je spojen s technickým pokrokem, nerozlučně spjatým s řemeslným umem</w:t>
            </w:r>
            <w:r>
              <w:rPr>
                <w:rFonts w:ascii="Arial" w:hAnsi="Arial" w:cs="Arial"/>
                <w:szCs w:val="28"/>
              </w:rPr>
              <w:t xml:space="preserve">. I s odkazem na fáze ortogenetického vývoje mladého člověka ve školním a starším školním věku </w:t>
            </w:r>
            <w:r w:rsidRPr="000F78F6">
              <w:rPr>
                <w:rFonts w:ascii="Arial" w:hAnsi="Arial" w:cs="Arial"/>
                <w:szCs w:val="28"/>
              </w:rPr>
              <w:t>proto požadujeme, aby</w:t>
            </w:r>
            <w:r>
              <w:rPr>
                <w:rFonts w:ascii="Arial" w:hAnsi="Arial" w:cs="Arial"/>
                <w:szCs w:val="28"/>
              </w:rPr>
              <w:t xml:space="preserve"> se </w:t>
            </w:r>
            <w:r w:rsidRPr="000F78F6">
              <w:rPr>
                <w:rFonts w:ascii="Arial" w:hAnsi="Arial" w:cs="Arial"/>
                <w:szCs w:val="28"/>
              </w:rPr>
              <w:t>základy technického poznání</w:t>
            </w:r>
            <w:r>
              <w:rPr>
                <w:rFonts w:ascii="Arial" w:hAnsi="Arial" w:cs="Arial"/>
                <w:szCs w:val="28"/>
              </w:rPr>
              <w:t xml:space="preserve"> </w:t>
            </w:r>
            <w:r w:rsidRPr="000F78F6">
              <w:rPr>
                <w:rFonts w:ascii="Arial" w:hAnsi="Arial" w:cs="Arial"/>
                <w:szCs w:val="28"/>
              </w:rPr>
              <w:t>a</w:t>
            </w:r>
            <w:r>
              <w:rPr>
                <w:rFonts w:ascii="Arial" w:hAnsi="Arial" w:cs="Arial"/>
                <w:szCs w:val="28"/>
              </w:rPr>
              <w:t> </w:t>
            </w:r>
            <w:r w:rsidRPr="000F78F6">
              <w:rPr>
                <w:rFonts w:ascii="Arial" w:hAnsi="Arial" w:cs="Arial"/>
                <w:szCs w:val="28"/>
              </w:rPr>
              <w:t>řemeslné zručnosti byli seznamováni žáci již od</w:t>
            </w:r>
            <w:r>
              <w:rPr>
                <w:rFonts w:ascii="Arial" w:hAnsi="Arial" w:cs="Arial"/>
                <w:szCs w:val="28"/>
              </w:rPr>
              <w:t> </w:t>
            </w:r>
            <w:r w:rsidRPr="000F78F6">
              <w:rPr>
                <w:rFonts w:ascii="Arial" w:hAnsi="Arial" w:cs="Arial"/>
                <w:szCs w:val="28"/>
              </w:rPr>
              <w:t>nejnižších ročníků základní školy.</w:t>
            </w:r>
          </w:p>
          <w:p w14:paraId="1C02EFFC" w14:textId="77777777" w:rsidR="00E23650" w:rsidRPr="007D34FE" w:rsidRDefault="00E23650" w:rsidP="003814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BD66B9" w14:textId="77777777" w:rsidR="00E23650" w:rsidRPr="00560291" w:rsidRDefault="00E23650" w:rsidP="003814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cs-CZ"/>
              </w:rPr>
            </w:pPr>
          </w:p>
        </w:tc>
      </w:tr>
      <w:tr w:rsidR="00E23650" w:rsidRPr="00560291" w14:paraId="7D1EE9AD" w14:textId="77777777" w:rsidTr="0038142A">
        <w:trPr>
          <w:trHeight w:val="337"/>
        </w:trPr>
        <w:tc>
          <w:tcPr>
            <w:tcW w:w="782" w:type="pct"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90" w:type="dxa"/>
            </w:tcMar>
          </w:tcPr>
          <w:p w14:paraId="2CEC85B6" w14:textId="77777777" w:rsidR="00E23650" w:rsidRPr="008709F7" w:rsidRDefault="00E23650" w:rsidP="0038142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SPS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90" w:type="dxa"/>
            </w:tcMar>
          </w:tcPr>
          <w:p w14:paraId="08D25B61" w14:textId="77777777" w:rsidR="00E23650" w:rsidRDefault="00E23650" w:rsidP="003814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STRATEGIE ROZVOJE REGIONÁLNÍHO ŠKOLSTVÍ</w:t>
            </w:r>
          </w:p>
          <w:p w14:paraId="09085DED" w14:textId="77777777" w:rsidR="00E23650" w:rsidRDefault="00E23650" w:rsidP="003814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 B</w:t>
            </w:r>
            <w:r w:rsidRPr="005D17B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Moderní základní vzdělání pro 21. století</w:t>
            </w:r>
          </w:p>
          <w:p w14:paraId="2107FDBA" w14:textId="77777777" w:rsidR="00E23650" w:rsidRDefault="00E23650" w:rsidP="003814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- </w:t>
            </w:r>
            <w:r w:rsidRPr="00773356">
              <w:rPr>
                <w:rFonts w:ascii="Arial" w:hAnsi="Arial" w:cs="Arial"/>
                <w:b/>
              </w:rPr>
              <w:t>B.1 Dokončení revize RVP ZV</w:t>
            </w:r>
          </w:p>
          <w:p w14:paraId="4A9D9DFD" w14:textId="77777777" w:rsidR="00E23650" w:rsidRDefault="00E23650" w:rsidP="003814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5D17BD">
              <w:rPr>
                <w:rFonts w:ascii="Arial" w:hAnsi="Arial" w:cs="Arial"/>
              </w:rPr>
              <w:t xml:space="preserve">str. </w:t>
            </w:r>
            <w:r>
              <w:rPr>
                <w:rFonts w:ascii="Arial" w:hAnsi="Arial" w:cs="Arial"/>
              </w:rPr>
              <w:t>42)</w:t>
            </w:r>
          </w:p>
          <w:p w14:paraId="1BC2CF73" w14:textId="77777777" w:rsidR="00E23650" w:rsidRPr="005D17BD" w:rsidRDefault="00E23650" w:rsidP="003814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90" w:type="dxa"/>
            </w:tcMar>
          </w:tcPr>
          <w:p w14:paraId="1B9D2EC5" w14:textId="77777777" w:rsidR="00E23650" w:rsidRDefault="00E23650" w:rsidP="0038142A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Změny a úpravy provedené v rámci „</w:t>
            </w:r>
            <w:r w:rsidRPr="00E20CEA">
              <w:rPr>
                <w:rFonts w:ascii="Arial" w:hAnsi="Arial" w:cs="Arial"/>
                <w:szCs w:val="28"/>
              </w:rPr>
              <w:t>Revize RVP ZV a systém metodické podpory pro školy a pedagogy</w:t>
            </w:r>
            <w:r>
              <w:rPr>
                <w:rFonts w:ascii="Arial" w:hAnsi="Arial" w:cs="Arial"/>
                <w:szCs w:val="28"/>
              </w:rPr>
              <w:t xml:space="preserve">“ během </w:t>
            </w:r>
            <w:r w:rsidRPr="00E20CEA">
              <w:rPr>
                <w:rFonts w:ascii="Arial" w:hAnsi="Arial" w:cs="Arial"/>
                <w:szCs w:val="28"/>
              </w:rPr>
              <w:t>prvního implementačního období Strategie 2030+</w:t>
            </w:r>
            <w:r>
              <w:rPr>
                <w:rFonts w:ascii="Arial" w:hAnsi="Arial" w:cs="Arial"/>
                <w:szCs w:val="28"/>
              </w:rPr>
              <w:t xml:space="preserve"> je potřeba zrevidovat, na výstupu vyhodnotit </w:t>
            </w:r>
            <w:proofErr w:type="gramStart"/>
            <w:r>
              <w:rPr>
                <w:rFonts w:ascii="Arial" w:hAnsi="Arial" w:cs="Arial"/>
                <w:szCs w:val="28"/>
              </w:rPr>
              <w:t>a  poučit</w:t>
            </w:r>
            <w:proofErr w:type="gramEnd"/>
            <w:r>
              <w:rPr>
                <w:rFonts w:ascii="Arial" w:hAnsi="Arial" w:cs="Arial"/>
                <w:szCs w:val="28"/>
              </w:rPr>
              <w:t xml:space="preserve"> se z pozitivních i negativních dopadů.</w:t>
            </w:r>
          </w:p>
          <w:p w14:paraId="7817F3AF" w14:textId="77777777" w:rsidR="00E23650" w:rsidRDefault="00E23650" w:rsidP="0038142A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 </w:t>
            </w:r>
          </w:p>
          <w:p w14:paraId="49EC82A6" w14:textId="77777777" w:rsidR="00E23650" w:rsidRDefault="00E23650" w:rsidP="0038142A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V </w:t>
            </w:r>
            <w:proofErr w:type="gramStart"/>
            <w:r>
              <w:rPr>
                <w:rFonts w:ascii="Arial" w:hAnsi="Arial" w:cs="Arial"/>
                <w:szCs w:val="28"/>
              </w:rPr>
              <w:t xml:space="preserve">části  </w:t>
            </w:r>
            <w:r w:rsidRPr="00E20CEA">
              <w:rPr>
                <w:rFonts w:ascii="Arial" w:hAnsi="Arial" w:cs="Arial"/>
                <w:b/>
                <w:szCs w:val="28"/>
              </w:rPr>
              <w:t>Opatření</w:t>
            </w:r>
            <w:proofErr w:type="gramEnd"/>
            <w:r w:rsidRPr="00E20CEA">
              <w:rPr>
                <w:rFonts w:ascii="Arial" w:hAnsi="Arial" w:cs="Arial"/>
                <w:b/>
                <w:szCs w:val="28"/>
              </w:rPr>
              <w:t xml:space="preserve"> B.1 Dokončení revize RVP ZV</w:t>
            </w:r>
            <w:r>
              <w:rPr>
                <w:rFonts w:ascii="Arial" w:hAnsi="Arial" w:cs="Arial"/>
                <w:szCs w:val="28"/>
              </w:rPr>
              <w:t>, 3. odstavec, požadujeme doplnit text:</w:t>
            </w:r>
          </w:p>
          <w:p w14:paraId="115D00BC" w14:textId="77777777" w:rsidR="00E23650" w:rsidRDefault="00E23650" w:rsidP="0038142A">
            <w:pPr>
              <w:rPr>
                <w:rFonts w:ascii="Arial" w:hAnsi="Arial" w:cs="Arial"/>
                <w:b/>
                <w:i/>
                <w:lang w:eastAsia="cs-CZ"/>
              </w:rPr>
            </w:pPr>
            <w:r w:rsidRPr="00E20CEA">
              <w:rPr>
                <w:rFonts w:ascii="Arial" w:hAnsi="Arial" w:cs="Arial"/>
                <w:b/>
                <w:i/>
                <w:lang w:eastAsia="cs-CZ"/>
              </w:rPr>
              <w:t>„Opatření přímo navazuje na kartu z prvního implementačního období Strategie 2030+ „Revize RVP ZV a systém metodické podpory pro školy a pedagogy”</w:t>
            </w:r>
            <w:r w:rsidRPr="00E20CEA">
              <w:rPr>
                <w:color w:val="C45911"/>
                <w:lang w:eastAsia="cs-CZ"/>
              </w:rPr>
              <w:t xml:space="preserve">, </w:t>
            </w:r>
            <w:r w:rsidRPr="00E20CEA">
              <w:rPr>
                <w:rFonts w:ascii="Arial" w:hAnsi="Arial" w:cs="Arial"/>
                <w:b/>
                <w:i/>
                <w:color w:val="C45911"/>
                <w:lang w:eastAsia="cs-CZ"/>
              </w:rPr>
              <w:t>reviduje výstupy po zavedení opatření předchozí revize RVP ZV, navrhuje doplnění a nápravná opatření</w:t>
            </w:r>
            <w:r w:rsidRPr="00E20CEA">
              <w:rPr>
                <w:rFonts w:ascii="Arial" w:hAnsi="Arial" w:cs="Arial"/>
                <w:b/>
                <w:i/>
                <w:lang w:eastAsia="cs-CZ"/>
              </w:rPr>
              <w:t>.</w:t>
            </w:r>
            <w:r w:rsidRPr="000A3D03">
              <w:rPr>
                <w:lang w:eastAsia="cs-CZ"/>
              </w:rPr>
              <w:t xml:space="preserve"> </w:t>
            </w:r>
            <w:r w:rsidRPr="00E20CEA">
              <w:rPr>
                <w:rFonts w:ascii="Arial" w:hAnsi="Arial" w:cs="Arial"/>
                <w:b/>
                <w:i/>
                <w:lang w:eastAsia="cs-CZ"/>
              </w:rPr>
              <w:t>Pokračuje tak v realizaci cíle, kterým je modernizace obsahu vzdělávání tak, aby odpovídalo dynamice a potřebám 21. století.“</w:t>
            </w:r>
          </w:p>
          <w:p w14:paraId="37F1EB63" w14:textId="77777777" w:rsidR="00E23650" w:rsidRDefault="00E23650" w:rsidP="0038142A">
            <w:pPr>
              <w:rPr>
                <w:rFonts w:ascii="Arial" w:hAnsi="Arial" w:cs="Arial"/>
                <w:b/>
                <w:i/>
                <w:lang w:eastAsia="cs-CZ"/>
              </w:rPr>
            </w:pPr>
          </w:p>
          <w:p w14:paraId="56E00C8E" w14:textId="77777777" w:rsidR="00E23650" w:rsidRDefault="00E23650" w:rsidP="0038142A">
            <w:pPr>
              <w:rPr>
                <w:rFonts w:ascii="Arial" w:hAnsi="Arial" w:cs="Arial"/>
                <w:szCs w:val="28"/>
              </w:rPr>
            </w:pPr>
            <w:r w:rsidRPr="007D34FE">
              <w:rPr>
                <w:rFonts w:ascii="Arial" w:hAnsi="Arial" w:cs="Arial"/>
                <w:szCs w:val="28"/>
              </w:rPr>
              <w:t>Zdůvodnění:</w:t>
            </w:r>
          </w:p>
          <w:p w14:paraId="6C4E8A63" w14:textId="77777777" w:rsidR="00E23650" w:rsidRPr="00E20CEA" w:rsidRDefault="00E23650" w:rsidP="0038142A">
            <w:pPr>
              <w:rPr>
                <w:rFonts w:ascii="Arial" w:hAnsi="Arial" w:cs="Arial"/>
                <w:b/>
                <w:i/>
                <w:lang w:eastAsia="cs-CZ"/>
              </w:rPr>
            </w:pPr>
            <w:r>
              <w:rPr>
                <w:rFonts w:ascii="Arial" w:hAnsi="Arial" w:cs="Arial"/>
                <w:iCs/>
                <w:szCs w:val="28"/>
              </w:rPr>
              <w:t>V případě dlouhodobé strategie změn a úprav, která je rozdělena do několika fází, nelze v následujících fázích pouze navazovat a slepě pokračovat bez průběžného vyhodnocování výstupů a optimalizace nastavené strategie. Výsledky některých, v minulosti zavedených, opatření nelze zpětně hodnotit pozitivně.</w:t>
            </w:r>
          </w:p>
          <w:p w14:paraId="1C1FD9E6" w14:textId="77777777" w:rsidR="00E23650" w:rsidRPr="005D17BD" w:rsidRDefault="00E23650" w:rsidP="003814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F70F9E" w14:textId="77777777" w:rsidR="00E23650" w:rsidRPr="00560291" w:rsidRDefault="00E23650" w:rsidP="0038142A">
            <w:pPr>
              <w:jc w:val="both"/>
              <w:rPr>
                <w:rFonts w:ascii="Arial" w:hAnsi="Arial" w:cs="Arial"/>
                <w:lang w:eastAsia="cs-CZ"/>
              </w:rPr>
            </w:pPr>
          </w:p>
        </w:tc>
      </w:tr>
      <w:tr w:rsidR="00E23650" w:rsidRPr="00560291" w14:paraId="39A49541" w14:textId="77777777" w:rsidTr="0038142A">
        <w:trPr>
          <w:trHeight w:val="337"/>
        </w:trPr>
        <w:tc>
          <w:tcPr>
            <w:tcW w:w="782" w:type="pct"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90" w:type="dxa"/>
            </w:tcMar>
          </w:tcPr>
          <w:p w14:paraId="25F7846A" w14:textId="77777777" w:rsidR="00E23650" w:rsidRPr="008709F7" w:rsidRDefault="00E23650" w:rsidP="0038142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SPS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90" w:type="dxa"/>
            </w:tcMar>
          </w:tcPr>
          <w:p w14:paraId="239FA602" w14:textId="77777777" w:rsidR="00E23650" w:rsidRDefault="00E23650" w:rsidP="003814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STRATEGIE ROZVOJE REGIONÁLNÍHO ŠKOLSTVÍ</w:t>
            </w:r>
          </w:p>
          <w:p w14:paraId="3EB069DA" w14:textId="77777777" w:rsidR="00E23650" w:rsidRDefault="00E23650" w:rsidP="003814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– </w:t>
            </w:r>
            <w:proofErr w:type="gramStart"/>
            <w:r>
              <w:rPr>
                <w:rFonts w:ascii="Arial" w:hAnsi="Arial" w:cs="Arial"/>
                <w:b/>
              </w:rPr>
              <w:t>C</w:t>
            </w:r>
            <w:r w:rsidRPr="005D17BD">
              <w:rPr>
                <w:rFonts w:ascii="Arial" w:hAnsi="Arial" w:cs="Arial"/>
                <w:b/>
              </w:rPr>
              <w:t xml:space="preserve"> </w:t>
            </w:r>
            <w:r>
              <w:t xml:space="preserve"> </w:t>
            </w:r>
            <w:r w:rsidRPr="00D401AE">
              <w:rPr>
                <w:rFonts w:ascii="Arial" w:hAnsi="Arial" w:cs="Arial"/>
                <w:b/>
              </w:rPr>
              <w:t>Všeobecné</w:t>
            </w:r>
            <w:proofErr w:type="gramEnd"/>
            <w:r w:rsidRPr="00D401AE">
              <w:rPr>
                <w:rFonts w:ascii="Arial" w:hAnsi="Arial" w:cs="Arial"/>
                <w:b/>
              </w:rPr>
              <w:t xml:space="preserve"> a</w:t>
            </w:r>
            <w:r>
              <w:rPr>
                <w:rFonts w:ascii="Arial" w:hAnsi="Arial" w:cs="Arial"/>
                <w:b/>
              </w:rPr>
              <w:t> </w:t>
            </w:r>
            <w:r w:rsidRPr="00D401AE">
              <w:rPr>
                <w:rFonts w:ascii="Arial" w:hAnsi="Arial" w:cs="Arial"/>
                <w:b/>
              </w:rPr>
              <w:t>odborné vzdělávání pro</w:t>
            </w:r>
            <w:r>
              <w:rPr>
                <w:rFonts w:ascii="Arial" w:hAnsi="Arial" w:cs="Arial"/>
                <w:b/>
              </w:rPr>
              <w:t> </w:t>
            </w:r>
            <w:r w:rsidRPr="00D401AE">
              <w:rPr>
                <w:rFonts w:ascii="Arial" w:hAnsi="Arial" w:cs="Arial"/>
                <w:b/>
              </w:rPr>
              <w:t>uplatnění v</w:t>
            </w:r>
            <w:r>
              <w:rPr>
                <w:rFonts w:ascii="Arial" w:hAnsi="Arial" w:cs="Arial"/>
                <w:b/>
              </w:rPr>
              <w:t> </w:t>
            </w:r>
            <w:r w:rsidRPr="00D401AE">
              <w:rPr>
                <w:rFonts w:ascii="Arial" w:hAnsi="Arial" w:cs="Arial"/>
                <w:b/>
              </w:rPr>
              <w:t>dalším studiu i</w:t>
            </w:r>
            <w:r>
              <w:rPr>
                <w:rFonts w:ascii="Arial" w:hAnsi="Arial" w:cs="Arial"/>
                <w:b/>
              </w:rPr>
              <w:t> </w:t>
            </w:r>
            <w:r w:rsidRPr="00D401AE">
              <w:rPr>
                <w:rFonts w:ascii="Arial" w:hAnsi="Arial" w:cs="Arial"/>
                <w:b/>
              </w:rPr>
              <w:t>v</w:t>
            </w:r>
            <w:r>
              <w:rPr>
                <w:rFonts w:ascii="Arial" w:hAnsi="Arial" w:cs="Arial"/>
                <w:b/>
              </w:rPr>
              <w:t> </w:t>
            </w:r>
            <w:r w:rsidRPr="00D401AE">
              <w:rPr>
                <w:rFonts w:ascii="Arial" w:hAnsi="Arial" w:cs="Arial"/>
                <w:b/>
              </w:rPr>
              <w:t>praxi</w:t>
            </w:r>
          </w:p>
          <w:p w14:paraId="10D9A2D8" w14:textId="77777777" w:rsidR="00E23650" w:rsidRDefault="00E23650" w:rsidP="003814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- Opatření </w:t>
            </w:r>
            <w:proofErr w:type="gramStart"/>
            <w:r>
              <w:rPr>
                <w:rFonts w:ascii="Arial" w:hAnsi="Arial" w:cs="Arial"/>
                <w:b/>
              </w:rPr>
              <w:t>C.</w:t>
            </w:r>
            <w:r w:rsidRPr="00773356">
              <w:rPr>
                <w:rFonts w:ascii="Arial" w:hAnsi="Arial" w:cs="Arial"/>
                <w:b/>
              </w:rPr>
              <w:t xml:space="preserve">1 </w:t>
            </w:r>
            <w:r>
              <w:t xml:space="preserve"> </w:t>
            </w:r>
            <w:r w:rsidRPr="00D401AE">
              <w:rPr>
                <w:rFonts w:ascii="Arial" w:hAnsi="Arial" w:cs="Arial"/>
                <w:b/>
              </w:rPr>
              <w:t>Nová</w:t>
            </w:r>
            <w:proofErr w:type="gramEnd"/>
            <w:r w:rsidRPr="00D401AE">
              <w:rPr>
                <w:rFonts w:ascii="Arial" w:hAnsi="Arial" w:cs="Arial"/>
                <w:b/>
              </w:rPr>
              <w:t xml:space="preserve"> struktura oborové soustavy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401AE">
              <w:rPr>
                <w:rFonts w:ascii="Arial" w:hAnsi="Arial" w:cs="Arial"/>
                <w:b/>
              </w:rPr>
              <w:t>středního vzdělávání</w:t>
            </w:r>
          </w:p>
          <w:p w14:paraId="0848F95C" w14:textId="77777777" w:rsidR="00E23650" w:rsidRDefault="00E23650" w:rsidP="003814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Klíčová aktivita C.</w:t>
            </w:r>
            <w:r w:rsidRPr="00773356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 xml:space="preserve">.1 </w:t>
            </w:r>
            <w:r w:rsidRPr="00D401AE">
              <w:rPr>
                <w:rFonts w:ascii="Arial" w:hAnsi="Arial" w:cs="Arial"/>
                <w:b/>
              </w:rPr>
              <w:t xml:space="preserve">  </w:t>
            </w:r>
            <w:r>
              <w:t xml:space="preserve"> </w:t>
            </w:r>
            <w:r w:rsidRPr="00D401AE">
              <w:rPr>
                <w:rFonts w:ascii="Arial" w:hAnsi="Arial" w:cs="Arial"/>
                <w:b/>
              </w:rPr>
              <w:t>Optimalizace počtu oborů vzdělání středních škol</w:t>
            </w:r>
          </w:p>
          <w:p w14:paraId="7292FD6F" w14:textId="77777777" w:rsidR="00E23650" w:rsidRDefault="00E23650" w:rsidP="003814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5D17BD">
              <w:rPr>
                <w:rFonts w:ascii="Arial" w:hAnsi="Arial" w:cs="Arial"/>
              </w:rPr>
              <w:t xml:space="preserve">str. </w:t>
            </w:r>
            <w:r>
              <w:rPr>
                <w:rFonts w:ascii="Arial" w:hAnsi="Arial" w:cs="Arial"/>
              </w:rPr>
              <w:t>53)</w:t>
            </w:r>
          </w:p>
          <w:p w14:paraId="0C118250" w14:textId="77777777" w:rsidR="00E23650" w:rsidRPr="005D17BD" w:rsidRDefault="00E23650" w:rsidP="003814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90" w:type="dxa"/>
            </w:tcMar>
          </w:tcPr>
          <w:p w14:paraId="16C0FBA0" w14:textId="77777777" w:rsidR="00E23650" w:rsidRPr="00D401AE" w:rsidRDefault="00E23650" w:rsidP="0038142A">
            <w:pPr>
              <w:rPr>
                <w:rFonts w:ascii="Arial" w:hAnsi="Arial" w:cs="Arial"/>
                <w:szCs w:val="28"/>
              </w:rPr>
            </w:pPr>
            <w:r w:rsidRPr="00D401AE">
              <w:rPr>
                <w:rFonts w:ascii="Arial" w:hAnsi="Arial" w:cs="Arial"/>
                <w:szCs w:val="28"/>
              </w:rPr>
              <w:t xml:space="preserve">Požadujeme, zpracování objektivní </w:t>
            </w:r>
            <w:bookmarkStart w:id="0" w:name="_Hlk148339121"/>
            <w:r w:rsidRPr="00D401AE">
              <w:rPr>
                <w:rFonts w:ascii="Arial" w:hAnsi="Arial" w:cs="Arial"/>
                <w:szCs w:val="28"/>
              </w:rPr>
              <w:t>analýzy uplatnitelnosti žáků a studentů středních škol, vyšších odborných škol a vysokých škol na trhu práce v České republice</w:t>
            </w:r>
            <w:bookmarkEnd w:id="0"/>
            <w:r w:rsidRPr="00D401AE">
              <w:rPr>
                <w:rFonts w:ascii="Arial" w:hAnsi="Arial" w:cs="Arial"/>
                <w:szCs w:val="28"/>
              </w:rPr>
              <w:t>, kde základním parametrem bude daný obor (např. Kuchař 65-51-H/01 …)</w:t>
            </w:r>
          </w:p>
          <w:p w14:paraId="0481E453" w14:textId="77777777" w:rsidR="00E23650" w:rsidRDefault="00E23650" w:rsidP="0038142A">
            <w:pPr>
              <w:jc w:val="both"/>
              <w:rPr>
                <w:rFonts w:ascii="Arial" w:hAnsi="Arial" w:cs="Arial"/>
                <w:szCs w:val="28"/>
              </w:rPr>
            </w:pPr>
          </w:p>
          <w:p w14:paraId="0620E44D" w14:textId="77777777" w:rsidR="00E23650" w:rsidRDefault="00E23650" w:rsidP="0038142A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Do části </w:t>
            </w:r>
            <w:r w:rsidRPr="007E5A31">
              <w:rPr>
                <w:rFonts w:ascii="Arial" w:hAnsi="Arial" w:cs="Arial"/>
                <w:szCs w:val="28"/>
              </w:rPr>
              <w:t>Klíčová aktivita</w:t>
            </w:r>
            <w:r>
              <w:rPr>
                <w:rFonts w:ascii="Arial" w:hAnsi="Arial" w:cs="Arial"/>
                <w:szCs w:val="28"/>
              </w:rPr>
              <w:t xml:space="preserve"> </w:t>
            </w:r>
            <w:r w:rsidRPr="007E5A31">
              <w:rPr>
                <w:rFonts w:ascii="Arial" w:hAnsi="Arial" w:cs="Arial"/>
                <w:szCs w:val="28"/>
              </w:rPr>
              <w:t>C.1.1 Optimalizace počtu oborů vzdělání středních škol</w:t>
            </w:r>
            <w:r>
              <w:rPr>
                <w:rFonts w:ascii="Arial" w:hAnsi="Arial" w:cs="Arial"/>
                <w:szCs w:val="28"/>
              </w:rPr>
              <w:t>, mezi 1. a 2. odstavec, požadujeme vložit text, odstavec:</w:t>
            </w:r>
          </w:p>
          <w:p w14:paraId="36E30E87" w14:textId="77777777" w:rsidR="00E23650" w:rsidRPr="007E5A31" w:rsidRDefault="00E23650" w:rsidP="0038142A">
            <w:pPr>
              <w:rPr>
                <w:rFonts w:ascii="Arial" w:hAnsi="Arial" w:cs="Arial"/>
                <w:szCs w:val="28"/>
              </w:rPr>
            </w:pPr>
            <w:r w:rsidRPr="007E5A31">
              <w:rPr>
                <w:rFonts w:ascii="Arial" w:hAnsi="Arial" w:cs="Arial"/>
                <w:szCs w:val="28"/>
              </w:rPr>
              <w:t xml:space="preserve"> </w:t>
            </w:r>
            <w:r w:rsidRPr="007E5A31">
              <w:rPr>
                <w:rFonts w:ascii="Arial" w:hAnsi="Arial" w:cs="Arial"/>
                <w:b/>
                <w:i/>
                <w:color w:val="C45911"/>
                <w:lang w:eastAsia="cs-CZ"/>
              </w:rPr>
              <w:t>„V rámci odpovědného rozhodování bude zpracována analýz</w:t>
            </w:r>
            <w:r>
              <w:rPr>
                <w:rFonts w:ascii="Arial" w:hAnsi="Arial" w:cs="Arial"/>
                <w:b/>
                <w:i/>
                <w:color w:val="C45911"/>
                <w:lang w:eastAsia="cs-CZ"/>
              </w:rPr>
              <w:t>a</w:t>
            </w:r>
            <w:r w:rsidRPr="007E5A31">
              <w:rPr>
                <w:rFonts w:ascii="Arial" w:hAnsi="Arial" w:cs="Arial"/>
                <w:b/>
                <w:i/>
                <w:color w:val="C45911"/>
                <w:lang w:eastAsia="cs-CZ"/>
              </w:rPr>
              <w:t xml:space="preserve"> uplatnitelnosti žáků a studentů středních škol, vyšších odborných škol a vysokých škol na trhu práce v České republice.“</w:t>
            </w:r>
          </w:p>
          <w:p w14:paraId="3FB11F7E" w14:textId="77777777" w:rsidR="00E23650" w:rsidRPr="007E5A31" w:rsidRDefault="00E23650" w:rsidP="0038142A">
            <w:pPr>
              <w:rPr>
                <w:rFonts w:ascii="Arial" w:hAnsi="Arial" w:cs="Arial"/>
                <w:szCs w:val="28"/>
              </w:rPr>
            </w:pPr>
          </w:p>
          <w:p w14:paraId="0912056F" w14:textId="77777777" w:rsidR="00E23650" w:rsidRPr="007E5A31" w:rsidRDefault="00E23650" w:rsidP="0038142A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a v následující tabulce </w:t>
            </w:r>
            <w:r w:rsidRPr="007E5A31">
              <w:rPr>
                <w:rFonts w:ascii="Arial" w:hAnsi="Arial" w:cs="Arial"/>
                <w:szCs w:val="28"/>
              </w:rPr>
              <w:t>Období realizace</w:t>
            </w:r>
            <w:r>
              <w:rPr>
                <w:rFonts w:ascii="Arial" w:hAnsi="Arial" w:cs="Arial"/>
                <w:szCs w:val="28"/>
              </w:rPr>
              <w:t xml:space="preserve"> a </w:t>
            </w:r>
            <w:r w:rsidRPr="007E5A31">
              <w:rPr>
                <w:rFonts w:ascii="Arial" w:hAnsi="Arial" w:cs="Arial"/>
                <w:szCs w:val="28"/>
              </w:rPr>
              <w:t>Kritéria</w:t>
            </w:r>
            <w:r>
              <w:rPr>
                <w:rFonts w:ascii="Arial" w:hAnsi="Arial" w:cs="Arial"/>
                <w:szCs w:val="28"/>
              </w:rPr>
              <w:t xml:space="preserve"> doplnit na první pozici kritérium:</w:t>
            </w:r>
          </w:p>
          <w:p w14:paraId="136732F1" w14:textId="77777777" w:rsidR="00E23650" w:rsidRPr="007E5A31" w:rsidRDefault="00E23650" w:rsidP="0038142A">
            <w:pPr>
              <w:rPr>
                <w:rFonts w:ascii="Arial" w:hAnsi="Arial" w:cs="Arial"/>
                <w:b/>
                <w:i/>
                <w:color w:val="C45911"/>
                <w:lang w:eastAsia="cs-CZ"/>
              </w:rPr>
            </w:pPr>
            <w:r w:rsidRPr="007E5A31">
              <w:rPr>
                <w:rFonts w:ascii="Arial" w:hAnsi="Arial" w:cs="Arial"/>
                <w:b/>
                <w:i/>
                <w:color w:val="C45911"/>
                <w:lang w:eastAsia="cs-CZ"/>
              </w:rPr>
              <w:t xml:space="preserve">„Analýza uplatnitelnosti žáků a studentů středních škol, vyšších odborných škol a </w:t>
            </w:r>
            <w:r w:rsidRPr="007E5A31">
              <w:rPr>
                <w:rFonts w:ascii="Arial" w:hAnsi="Arial" w:cs="Arial"/>
                <w:b/>
                <w:i/>
                <w:color w:val="C45911"/>
                <w:lang w:eastAsia="cs-CZ"/>
              </w:rPr>
              <w:lastRenderedPageBreak/>
              <w:t>vysokých škol na trhu práce v České republice.“</w:t>
            </w:r>
          </w:p>
          <w:p w14:paraId="791A0331" w14:textId="77777777" w:rsidR="00E23650" w:rsidRPr="007E5A31" w:rsidRDefault="00E23650" w:rsidP="0038142A">
            <w:pPr>
              <w:rPr>
                <w:rFonts w:ascii="Arial" w:hAnsi="Arial" w:cs="Arial"/>
                <w:szCs w:val="28"/>
              </w:rPr>
            </w:pPr>
          </w:p>
          <w:p w14:paraId="75F95F1E" w14:textId="77777777" w:rsidR="00E23650" w:rsidRPr="007E5A31" w:rsidRDefault="00E23650" w:rsidP="0038142A">
            <w:pPr>
              <w:rPr>
                <w:rFonts w:ascii="Arial" w:hAnsi="Arial" w:cs="Arial"/>
                <w:szCs w:val="28"/>
              </w:rPr>
            </w:pPr>
            <w:r w:rsidRPr="007E5A31">
              <w:rPr>
                <w:rFonts w:ascii="Arial" w:hAnsi="Arial" w:cs="Arial"/>
                <w:szCs w:val="28"/>
              </w:rPr>
              <w:t>Zdůvodnění:</w:t>
            </w:r>
          </w:p>
          <w:p w14:paraId="7AC2E686" w14:textId="77777777" w:rsidR="00E23650" w:rsidRPr="007E5A31" w:rsidRDefault="00E23650" w:rsidP="0038142A">
            <w:pPr>
              <w:rPr>
                <w:rFonts w:ascii="Arial" w:hAnsi="Arial" w:cs="Arial"/>
                <w:szCs w:val="28"/>
              </w:rPr>
            </w:pPr>
            <w:r w:rsidRPr="007E5A31">
              <w:rPr>
                <w:rFonts w:ascii="Arial" w:hAnsi="Arial" w:cs="Arial"/>
                <w:szCs w:val="28"/>
              </w:rPr>
              <w:t xml:space="preserve"> Bez této analýzy nelze odpovědně s péčí řádného hospodáře řešit problematiku středního a vysokého školství ve vztahu k oborové soustavě v České republice.</w:t>
            </w:r>
          </w:p>
          <w:p w14:paraId="2212A0C9" w14:textId="77777777" w:rsidR="00E23650" w:rsidRPr="00D401AE" w:rsidRDefault="00E23650" w:rsidP="0038142A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AF0D78" w14:textId="77777777" w:rsidR="00E23650" w:rsidRPr="00560291" w:rsidRDefault="00E23650" w:rsidP="003814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E23650" w:rsidRPr="00560291" w14:paraId="44EFE585" w14:textId="77777777" w:rsidTr="0038142A">
        <w:trPr>
          <w:trHeight w:val="337"/>
        </w:trPr>
        <w:tc>
          <w:tcPr>
            <w:tcW w:w="782" w:type="pct"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90" w:type="dxa"/>
            </w:tcMar>
          </w:tcPr>
          <w:p w14:paraId="79FE9E39" w14:textId="77777777" w:rsidR="00E23650" w:rsidRDefault="00E23650" w:rsidP="0038142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SPS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90" w:type="dxa"/>
            </w:tcMar>
          </w:tcPr>
          <w:p w14:paraId="3808F914" w14:textId="77777777" w:rsidR="00E23650" w:rsidRDefault="00E23650" w:rsidP="003814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STRATEGIE ROZVOJE REGIONÁLNÍHO ŠKOLSTVÍ</w:t>
            </w:r>
          </w:p>
          <w:p w14:paraId="4B483E38" w14:textId="77777777" w:rsidR="00E23650" w:rsidRDefault="00E23650" w:rsidP="003814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– </w:t>
            </w:r>
            <w:proofErr w:type="gramStart"/>
            <w:r>
              <w:rPr>
                <w:rFonts w:ascii="Arial" w:hAnsi="Arial" w:cs="Arial"/>
                <w:b/>
              </w:rPr>
              <w:t>C</w:t>
            </w:r>
            <w:r w:rsidRPr="005D17BD">
              <w:rPr>
                <w:rFonts w:ascii="Arial" w:hAnsi="Arial" w:cs="Arial"/>
                <w:b/>
              </w:rPr>
              <w:t xml:space="preserve"> </w:t>
            </w:r>
            <w:r>
              <w:t xml:space="preserve"> </w:t>
            </w:r>
            <w:r w:rsidRPr="00D401AE">
              <w:rPr>
                <w:rFonts w:ascii="Arial" w:hAnsi="Arial" w:cs="Arial"/>
                <w:b/>
              </w:rPr>
              <w:t>Všeobecné</w:t>
            </w:r>
            <w:proofErr w:type="gramEnd"/>
            <w:r w:rsidRPr="00D401AE">
              <w:rPr>
                <w:rFonts w:ascii="Arial" w:hAnsi="Arial" w:cs="Arial"/>
                <w:b/>
              </w:rPr>
              <w:t xml:space="preserve"> a</w:t>
            </w:r>
            <w:r>
              <w:rPr>
                <w:rFonts w:ascii="Arial" w:hAnsi="Arial" w:cs="Arial"/>
                <w:b/>
              </w:rPr>
              <w:t> </w:t>
            </w:r>
            <w:r w:rsidRPr="00D401AE">
              <w:rPr>
                <w:rFonts w:ascii="Arial" w:hAnsi="Arial" w:cs="Arial"/>
                <w:b/>
              </w:rPr>
              <w:t>odborné vzdělávání pro</w:t>
            </w:r>
            <w:r>
              <w:rPr>
                <w:rFonts w:ascii="Arial" w:hAnsi="Arial" w:cs="Arial"/>
                <w:b/>
              </w:rPr>
              <w:t> </w:t>
            </w:r>
            <w:r w:rsidRPr="00D401AE">
              <w:rPr>
                <w:rFonts w:ascii="Arial" w:hAnsi="Arial" w:cs="Arial"/>
                <w:b/>
              </w:rPr>
              <w:t>uplatnění v</w:t>
            </w:r>
            <w:r>
              <w:rPr>
                <w:rFonts w:ascii="Arial" w:hAnsi="Arial" w:cs="Arial"/>
                <w:b/>
              </w:rPr>
              <w:t> </w:t>
            </w:r>
            <w:r w:rsidRPr="00D401AE">
              <w:rPr>
                <w:rFonts w:ascii="Arial" w:hAnsi="Arial" w:cs="Arial"/>
                <w:b/>
              </w:rPr>
              <w:t>dalším studiu i</w:t>
            </w:r>
            <w:r>
              <w:rPr>
                <w:rFonts w:ascii="Arial" w:hAnsi="Arial" w:cs="Arial"/>
                <w:b/>
              </w:rPr>
              <w:t> </w:t>
            </w:r>
            <w:r w:rsidRPr="00D401AE">
              <w:rPr>
                <w:rFonts w:ascii="Arial" w:hAnsi="Arial" w:cs="Arial"/>
                <w:b/>
              </w:rPr>
              <w:t>v</w:t>
            </w:r>
            <w:r>
              <w:rPr>
                <w:rFonts w:ascii="Arial" w:hAnsi="Arial" w:cs="Arial"/>
                <w:b/>
              </w:rPr>
              <w:t> </w:t>
            </w:r>
            <w:r w:rsidRPr="00D401AE">
              <w:rPr>
                <w:rFonts w:ascii="Arial" w:hAnsi="Arial" w:cs="Arial"/>
                <w:b/>
              </w:rPr>
              <w:t>praxi</w:t>
            </w:r>
          </w:p>
          <w:p w14:paraId="2D87CEE6" w14:textId="77777777" w:rsidR="00E23650" w:rsidRDefault="00E23650" w:rsidP="003814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- Opatření C.5 </w:t>
            </w:r>
            <w:r w:rsidRPr="00CC5F05">
              <w:rPr>
                <w:rFonts w:ascii="Arial" w:hAnsi="Arial" w:cs="Arial"/>
                <w:b/>
              </w:rPr>
              <w:t>Zlepšování nástrojů pro vstup absolventů na trh práce</w:t>
            </w:r>
          </w:p>
          <w:p w14:paraId="4E191E40" w14:textId="77777777" w:rsidR="00E23650" w:rsidRDefault="00E23650" w:rsidP="003814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- Klíčová aktivita C.5.1 </w:t>
            </w:r>
            <w:r w:rsidRPr="00CC5F05">
              <w:rPr>
                <w:rFonts w:ascii="Arial" w:hAnsi="Arial" w:cs="Arial"/>
                <w:b/>
              </w:rPr>
              <w:t>Kariérové poradenství a</w:t>
            </w:r>
            <w:r>
              <w:rPr>
                <w:rFonts w:ascii="Arial" w:hAnsi="Arial" w:cs="Arial"/>
                <w:b/>
              </w:rPr>
              <w:t> </w:t>
            </w:r>
            <w:r w:rsidRPr="00CC5F05">
              <w:rPr>
                <w:rFonts w:ascii="Arial" w:hAnsi="Arial" w:cs="Arial"/>
                <w:b/>
              </w:rPr>
              <w:t>vzdělávání</w:t>
            </w:r>
          </w:p>
          <w:p w14:paraId="34AA6F24" w14:textId="77777777" w:rsidR="00E23650" w:rsidRDefault="00E23650" w:rsidP="003814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5D17BD">
              <w:rPr>
                <w:rFonts w:ascii="Arial" w:hAnsi="Arial" w:cs="Arial"/>
              </w:rPr>
              <w:t xml:space="preserve">str. </w:t>
            </w:r>
            <w:r>
              <w:rPr>
                <w:rFonts w:ascii="Arial" w:hAnsi="Arial" w:cs="Arial"/>
              </w:rPr>
              <w:t>63)</w:t>
            </w:r>
          </w:p>
          <w:p w14:paraId="09769584" w14:textId="77777777" w:rsidR="00E23650" w:rsidRPr="005D17BD" w:rsidRDefault="00E23650" w:rsidP="003814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90" w:type="dxa"/>
            </w:tcMar>
          </w:tcPr>
          <w:p w14:paraId="2552AFD6" w14:textId="77777777" w:rsidR="00E23650" w:rsidRPr="00CC5F05" w:rsidRDefault="00E23650" w:rsidP="0038142A">
            <w:pPr>
              <w:jc w:val="both"/>
              <w:rPr>
                <w:rFonts w:ascii="Arial" w:hAnsi="Arial" w:cs="Arial"/>
                <w:szCs w:val="28"/>
              </w:rPr>
            </w:pPr>
            <w:r w:rsidRPr="00CC5F05">
              <w:rPr>
                <w:rFonts w:ascii="Arial" w:hAnsi="Arial" w:cs="Arial"/>
                <w:szCs w:val="28"/>
              </w:rPr>
              <w:t>Spojit pozici kariérového poradce s výchovným poradcem (nevytváření dalších funkcí) a zapojit do</w:t>
            </w:r>
            <w:r>
              <w:rPr>
                <w:rFonts w:ascii="Arial" w:hAnsi="Arial" w:cs="Arial"/>
                <w:szCs w:val="28"/>
              </w:rPr>
              <w:t> </w:t>
            </w:r>
            <w:r w:rsidRPr="00CC5F05">
              <w:rPr>
                <w:rFonts w:ascii="Arial" w:hAnsi="Arial" w:cs="Arial"/>
                <w:szCs w:val="28"/>
              </w:rPr>
              <w:t xml:space="preserve">procesu kariérového poradenství příslušná ministerstva (Ministerstvo práce a sociálních </w:t>
            </w:r>
            <w:proofErr w:type="gramStart"/>
            <w:r w:rsidRPr="00CC5F05">
              <w:rPr>
                <w:rFonts w:ascii="Arial" w:hAnsi="Arial" w:cs="Arial"/>
                <w:szCs w:val="28"/>
              </w:rPr>
              <w:t>věcí - prostřednictvím</w:t>
            </w:r>
            <w:proofErr w:type="gramEnd"/>
            <w:r w:rsidRPr="00CC5F05">
              <w:rPr>
                <w:rFonts w:ascii="Arial" w:hAnsi="Arial" w:cs="Arial"/>
                <w:szCs w:val="28"/>
              </w:rPr>
              <w:t xml:space="preserve"> úřadů práce, Ministerstvo průmyslu a</w:t>
            </w:r>
            <w:r>
              <w:rPr>
                <w:rFonts w:ascii="Arial" w:hAnsi="Arial" w:cs="Arial"/>
                <w:szCs w:val="28"/>
              </w:rPr>
              <w:t> </w:t>
            </w:r>
            <w:r w:rsidRPr="00CC5F05">
              <w:rPr>
                <w:rFonts w:ascii="Arial" w:hAnsi="Arial" w:cs="Arial"/>
                <w:szCs w:val="28"/>
              </w:rPr>
              <w:t>obchodu, Ministerstvo zemědělství, Ministerstvo zdravotnictví - prostřednictvím profesních komor a</w:t>
            </w:r>
            <w:r>
              <w:rPr>
                <w:rFonts w:ascii="Arial" w:hAnsi="Arial" w:cs="Arial"/>
                <w:szCs w:val="28"/>
              </w:rPr>
              <w:t> </w:t>
            </w:r>
            <w:r w:rsidRPr="00CC5F05">
              <w:rPr>
                <w:rFonts w:ascii="Arial" w:hAnsi="Arial" w:cs="Arial"/>
                <w:szCs w:val="28"/>
              </w:rPr>
              <w:t>společenství, ...). Uvedeným krokem by se významně zvýšil přímý vliv trhu práce na vzdělávací soustavu.</w:t>
            </w:r>
          </w:p>
          <w:p w14:paraId="70307822" w14:textId="77777777" w:rsidR="00E23650" w:rsidRDefault="00E23650" w:rsidP="0038142A">
            <w:pPr>
              <w:jc w:val="both"/>
              <w:rPr>
                <w:rFonts w:ascii="Arial" w:hAnsi="Arial" w:cs="Arial"/>
                <w:szCs w:val="28"/>
              </w:rPr>
            </w:pPr>
          </w:p>
          <w:p w14:paraId="0E7DB6ED" w14:textId="77777777" w:rsidR="00E23650" w:rsidRPr="00195D92" w:rsidRDefault="00E23650" w:rsidP="0038142A">
            <w:pPr>
              <w:rPr>
                <w:rFonts w:ascii="Arial" w:hAnsi="Arial" w:cs="Arial"/>
                <w:szCs w:val="28"/>
              </w:rPr>
            </w:pPr>
            <w:r w:rsidRPr="008223E9">
              <w:rPr>
                <w:rFonts w:ascii="Arial" w:hAnsi="Arial" w:cs="Arial"/>
                <w:szCs w:val="28"/>
              </w:rPr>
              <w:t xml:space="preserve">Do kapitoly </w:t>
            </w:r>
            <w:r w:rsidRPr="00195D92">
              <w:rPr>
                <w:rFonts w:ascii="Arial" w:hAnsi="Arial" w:cs="Arial"/>
                <w:b/>
                <w:szCs w:val="28"/>
              </w:rPr>
              <w:t>Klíčové aktivity C.5.1</w:t>
            </w:r>
            <w:r w:rsidRPr="008223E9">
              <w:rPr>
                <w:rFonts w:ascii="Arial" w:hAnsi="Arial" w:cs="Arial"/>
                <w:b/>
                <w:szCs w:val="28"/>
              </w:rPr>
              <w:t xml:space="preserve"> </w:t>
            </w:r>
            <w:r w:rsidRPr="00195D92">
              <w:rPr>
                <w:rFonts w:ascii="Arial" w:hAnsi="Arial" w:cs="Arial"/>
                <w:b/>
                <w:szCs w:val="28"/>
              </w:rPr>
              <w:t>Kariérové poradenství a vzdělávání</w:t>
            </w:r>
            <w:r>
              <w:rPr>
                <w:rFonts w:ascii="Arial" w:hAnsi="Arial" w:cs="Arial"/>
                <w:b/>
                <w:szCs w:val="28"/>
              </w:rPr>
              <w:t xml:space="preserve"> </w:t>
            </w:r>
            <w:r>
              <w:rPr>
                <w:rFonts w:ascii="Arial" w:hAnsi="Arial" w:cs="Arial"/>
                <w:szCs w:val="28"/>
              </w:rPr>
              <w:t>požadujeme doplnit:</w:t>
            </w:r>
          </w:p>
          <w:p w14:paraId="07DF5E45" w14:textId="77777777" w:rsidR="00E23650" w:rsidRPr="00083E6B" w:rsidRDefault="00E23650" w:rsidP="0038142A">
            <w:pPr>
              <w:rPr>
                <w:rFonts w:ascii="Arial" w:hAnsi="Arial" w:cs="Arial"/>
                <w:color w:val="C45911"/>
              </w:rPr>
            </w:pPr>
            <w:r w:rsidRPr="00083E6B">
              <w:rPr>
                <w:rFonts w:ascii="Arial" w:hAnsi="Arial" w:cs="Arial"/>
                <w:color w:val="C45911"/>
              </w:rPr>
              <w:t>Zapracování kompetencí k osobnostnímu rozvoji a kariérových kompetencí do RVP SOV a RVP ZV</w:t>
            </w:r>
          </w:p>
          <w:p w14:paraId="1F302B13" w14:textId="77777777" w:rsidR="00E23650" w:rsidRDefault="00E23650" w:rsidP="0038142A">
            <w:pPr>
              <w:rPr>
                <w:rFonts w:ascii="Arial" w:hAnsi="Arial" w:cs="Arial"/>
                <w:color w:val="00B050"/>
              </w:rPr>
            </w:pPr>
          </w:p>
          <w:p w14:paraId="15F13F9D" w14:textId="77777777" w:rsidR="00E23650" w:rsidRDefault="00E23650" w:rsidP="0038142A">
            <w:pPr>
              <w:rPr>
                <w:rFonts w:ascii="Arial" w:hAnsi="Arial" w:cs="Arial"/>
                <w:szCs w:val="28"/>
              </w:rPr>
            </w:pPr>
            <w:r w:rsidRPr="007D34FE">
              <w:rPr>
                <w:rFonts w:ascii="Arial" w:hAnsi="Arial" w:cs="Arial"/>
                <w:szCs w:val="28"/>
              </w:rPr>
              <w:t>Zdůvodnění:</w:t>
            </w:r>
          </w:p>
          <w:p w14:paraId="632216FE" w14:textId="77777777" w:rsidR="00E23650" w:rsidRPr="00CC5F05" w:rsidRDefault="00E23650" w:rsidP="0038142A">
            <w:pPr>
              <w:jc w:val="both"/>
              <w:rPr>
                <w:rFonts w:ascii="Arial" w:hAnsi="Arial" w:cs="Arial"/>
                <w:szCs w:val="28"/>
              </w:rPr>
            </w:pPr>
            <w:r w:rsidRPr="00CC5F05">
              <w:rPr>
                <w:rFonts w:ascii="Arial" w:hAnsi="Arial" w:cs="Arial"/>
                <w:szCs w:val="28"/>
              </w:rPr>
              <w:t>Těžiště kariérového poradenství by se mělo primárně odehrávat na základní škole. Obtížně uchopitelná věta o „zapracování kompetencí k osobnímu rozvoji a</w:t>
            </w:r>
            <w:r>
              <w:rPr>
                <w:rFonts w:ascii="Arial" w:hAnsi="Arial" w:cs="Arial"/>
                <w:szCs w:val="28"/>
              </w:rPr>
              <w:t> </w:t>
            </w:r>
            <w:r w:rsidRPr="00CC5F05">
              <w:rPr>
                <w:rFonts w:ascii="Arial" w:hAnsi="Arial" w:cs="Arial"/>
                <w:szCs w:val="28"/>
              </w:rPr>
              <w:t xml:space="preserve">kariérových kompetencí do RVP“ není řešením, neboť pozici </w:t>
            </w:r>
            <w:r w:rsidRPr="00CC5F05">
              <w:rPr>
                <w:rFonts w:ascii="Arial" w:hAnsi="Arial" w:cs="Arial"/>
                <w:szCs w:val="28"/>
              </w:rPr>
              <w:lastRenderedPageBreak/>
              <w:t>kariérových poradců zastávají především absolventi (nebo spíše absolventky) středního všeobecného vzdělávání a pedagogických fakult. Bohužel většina z nich nemá téměř žádné zkušenosti s fungováním trhu práce a bylo by účelnější zapojení odpovědných pracovníků úřadů práce, personalistů firem nebo využít potenciál pracovníků oblastních hospodářských komor a oborových společenství.</w:t>
            </w:r>
          </w:p>
          <w:p w14:paraId="2DD8E784" w14:textId="77777777" w:rsidR="00E23650" w:rsidRPr="00CC5F05" w:rsidRDefault="00E23650" w:rsidP="0038142A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36733D" w14:textId="77777777" w:rsidR="00E23650" w:rsidRPr="00560291" w:rsidRDefault="00E23650" w:rsidP="003814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E23650" w:rsidRPr="00560291" w14:paraId="2FA7EBB3" w14:textId="77777777" w:rsidTr="0038142A">
        <w:trPr>
          <w:trHeight w:val="337"/>
        </w:trPr>
        <w:tc>
          <w:tcPr>
            <w:tcW w:w="782" w:type="pct"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90" w:type="dxa"/>
            </w:tcMar>
          </w:tcPr>
          <w:p w14:paraId="4244EA9F" w14:textId="77777777" w:rsidR="00E23650" w:rsidRPr="008709F7" w:rsidRDefault="00E23650" w:rsidP="0038142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SPS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90" w:type="dxa"/>
            </w:tcMar>
          </w:tcPr>
          <w:p w14:paraId="68E99E4A" w14:textId="77777777" w:rsidR="00E23650" w:rsidRDefault="00E23650" w:rsidP="003814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STRATEGIE ROZVOJE REGIONÁLNÍHO ŠKOLSTVÍ</w:t>
            </w:r>
          </w:p>
          <w:p w14:paraId="656A767D" w14:textId="77777777" w:rsidR="00E23650" w:rsidRDefault="00E23650" w:rsidP="003814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– </w:t>
            </w:r>
            <w:proofErr w:type="gramStart"/>
            <w:r>
              <w:rPr>
                <w:rFonts w:ascii="Arial" w:hAnsi="Arial" w:cs="Arial"/>
                <w:b/>
              </w:rPr>
              <w:t>C</w:t>
            </w:r>
            <w:r w:rsidRPr="005D17BD">
              <w:rPr>
                <w:rFonts w:ascii="Arial" w:hAnsi="Arial" w:cs="Arial"/>
                <w:b/>
              </w:rPr>
              <w:t xml:space="preserve"> </w:t>
            </w:r>
            <w:r>
              <w:t xml:space="preserve"> </w:t>
            </w:r>
            <w:r w:rsidRPr="00D401AE">
              <w:rPr>
                <w:rFonts w:ascii="Arial" w:hAnsi="Arial" w:cs="Arial"/>
                <w:b/>
              </w:rPr>
              <w:t>Všeobecné</w:t>
            </w:r>
            <w:proofErr w:type="gramEnd"/>
            <w:r w:rsidRPr="00D401AE">
              <w:rPr>
                <w:rFonts w:ascii="Arial" w:hAnsi="Arial" w:cs="Arial"/>
                <w:b/>
              </w:rPr>
              <w:t xml:space="preserve"> a</w:t>
            </w:r>
            <w:r>
              <w:rPr>
                <w:rFonts w:ascii="Arial" w:hAnsi="Arial" w:cs="Arial"/>
                <w:b/>
              </w:rPr>
              <w:t> </w:t>
            </w:r>
            <w:r w:rsidRPr="00D401AE">
              <w:rPr>
                <w:rFonts w:ascii="Arial" w:hAnsi="Arial" w:cs="Arial"/>
                <w:b/>
              </w:rPr>
              <w:t>odborné vzdělávání pro</w:t>
            </w:r>
            <w:r>
              <w:rPr>
                <w:rFonts w:ascii="Arial" w:hAnsi="Arial" w:cs="Arial"/>
                <w:b/>
              </w:rPr>
              <w:t> </w:t>
            </w:r>
            <w:r w:rsidRPr="00D401AE">
              <w:rPr>
                <w:rFonts w:ascii="Arial" w:hAnsi="Arial" w:cs="Arial"/>
                <w:b/>
              </w:rPr>
              <w:t>uplatnění v</w:t>
            </w:r>
            <w:r>
              <w:rPr>
                <w:rFonts w:ascii="Arial" w:hAnsi="Arial" w:cs="Arial"/>
                <w:b/>
              </w:rPr>
              <w:t> </w:t>
            </w:r>
            <w:r w:rsidRPr="00D401AE">
              <w:rPr>
                <w:rFonts w:ascii="Arial" w:hAnsi="Arial" w:cs="Arial"/>
                <w:b/>
              </w:rPr>
              <w:t>dalším studiu i</w:t>
            </w:r>
            <w:r>
              <w:rPr>
                <w:rFonts w:ascii="Arial" w:hAnsi="Arial" w:cs="Arial"/>
                <w:b/>
              </w:rPr>
              <w:t> </w:t>
            </w:r>
            <w:r w:rsidRPr="00D401AE">
              <w:rPr>
                <w:rFonts w:ascii="Arial" w:hAnsi="Arial" w:cs="Arial"/>
                <w:b/>
              </w:rPr>
              <w:t>v</w:t>
            </w:r>
            <w:r>
              <w:rPr>
                <w:rFonts w:ascii="Arial" w:hAnsi="Arial" w:cs="Arial"/>
                <w:b/>
              </w:rPr>
              <w:t> </w:t>
            </w:r>
            <w:r w:rsidRPr="00D401AE">
              <w:rPr>
                <w:rFonts w:ascii="Arial" w:hAnsi="Arial" w:cs="Arial"/>
                <w:b/>
              </w:rPr>
              <w:t>praxi</w:t>
            </w:r>
          </w:p>
          <w:p w14:paraId="4050920C" w14:textId="77777777" w:rsidR="00E23650" w:rsidRDefault="00E23650" w:rsidP="003814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5D17BD">
              <w:rPr>
                <w:rFonts w:ascii="Arial" w:hAnsi="Arial" w:cs="Arial"/>
              </w:rPr>
              <w:t xml:space="preserve">str. </w:t>
            </w:r>
            <w:r>
              <w:rPr>
                <w:rFonts w:ascii="Arial" w:hAnsi="Arial" w:cs="Arial"/>
              </w:rPr>
              <w:t>53 a 63)</w:t>
            </w:r>
          </w:p>
          <w:p w14:paraId="6DFF9AC4" w14:textId="77777777" w:rsidR="00E23650" w:rsidRPr="005D17BD" w:rsidRDefault="00E23650" w:rsidP="003814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90" w:type="dxa"/>
            </w:tcMar>
          </w:tcPr>
          <w:p w14:paraId="01E14B31" w14:textId="77777777" w:rsidR="00E23650" w:rsidRDefault="00E23650" w:rsidP="0038142A">
            <w:pPr>
              <w:jc w:val="both"/>
              <w:rPr>
                <w:rFonts w:ascii="Arial" w:hAnsi="Arial" w:cs="Arial"/>
                <w:szCs w:val="28"/>
              </w:rPr>
            </w:pPr>
            <w:r w:rsidRPr="00A05C73">
              <w:rPr>
                <w:rFonts w:ascii="Arial" w:hAnsi="Arial" w:cs="Arial"/>
                <w:szCs w:val="28"/>
              </w:rPr>
              <w:t>Opatření na podporu středního odborného školství a</w:t>
            </w:r>
            <w:r>
              <w:rPr>
                <w:rFonts w:ascii="Arial" w:hAnsi="Arial" w:cs="Arial"/>
                <w:szCs w:val="28"/>
              </w:rPr>
              <w:t> </w:t>
            </w:r>
            <w:r w:rsidRPr="00A05C73">
              <w:rPr>
                <w:rFonts w:ascii="Arial" w:hAnsi="Arial" w:cs="Arial"/>
                <w:szCs w:val="28"/>
              </w:rPr>
              <w:t>oborů s technickým, či řemeslným zaměřením musí být zapracováno do DZ 23-27. Jedná se o společný dokument Ministerstva školství a zástupců zaměstnavatelů přijatý na 172. Plenární schůzi Rady hospodářské a sociální dohody</w:t>
            </w:r>
            <w:r>
              <w:rPr>
                <w:rFonts w:ascii="Arial" w:hAnsi="Arial" w:cs="Arial"/>
                <w:szCs w:val="28"/>
              </w:rPr>
              <w:t xml:space="preserve"> ČR, konané dne 25. září 2023 na Úřadu vlády</w:t>
            </w:r>
            <w:r w:rsidRPr="00A05C73">
              <w:rPr>
                <w:rFonts w:ascii="Arial" w:hAnsi="Arial" w:cs="Arial"/>
                <w:szCs w:val="28"/>
              </w:rPr>
              <w:t>.</w:t>
            </w:r>
          </w:p>
          <w:p w14:paraId="3B0E3F30" w14:textId="77777777" w:rsidR="00E23650" w:rsidRDefault="00E23650" w:rsidP="0038142A">
            <w:pPr>
              <w:jc w:val="both"/>
              <w:rPr>
                <w:rFonts w:ascii="Arial" w:hAnsi="Arial" w:cs="Arial"/>
                <w:szCs w:val="28"/>
              </w:rPr>
            </w:pPr>
          </w:p>
          <w:p w14:paraId="2C9AEA9C" w14:textId="77777777" w:rsidR="00E23650" w:rsidRDefault="00E23650" w:rsidP="0038142A">
            <w:pPr>
              <w:jc w:val="both"/>
              <w:rPr>
                <w:rFonts w:ascii="Arial" w:hAnsi="Arial" w:cs="Arial"/>
                <w:szCs w:val="28"/>
              </w:rPr>
            </w:pPr>
            <w:r w:rsidRPr="008223E9">
              <w:rPr>
                <w:rFonts w:ascii="Arial" w:hAnsi="Arial" w:cs="Arial"/>
                <w:szCs w:val="28"/>
              </w:rPr>
              <w:t xml:space="preserve">Do kapitoly </w:t>
            </w:r>
            <w:r w:rsidRPr="008223E9">
              <w:rPr>
                <w:rFonts w:ascii="Arial" w:hAnsi="Arial" w:cs="Arial"/>
                <w:b/>
                <w:szCs w:val="28"/>
              </w:rPr>
              <w:t>4 STRATEGIE ROZVOJE REGIONÁLNÍHO ŠKOLSTVÍ – KARTY OPATŘEN</w:t>
            </w:r>
            <w:r>
              <w:rPr>
                <w:rFonts w:ascii="Arial" w:hAnsi="Arial" w:cs="Arial"/>
                <w:b/>
                <w:szCs w:val="28"/>
              </w:rPr>
              <w:t>Í</w:t>
            </w:r>
            <w:r w:rsidRPr="008223E9">
              <w:rPr>
                <w:rFonts w:ascii="Arial" w:hAnsi="Arial" w:cs="Arial"/>
                <w:szCs w:val="28"/>
              </w:rPr>
              <w:t xml:space="preserve"> části </w:t>
            </w:r>
            <w:proofErr w:type="gramStart"/>
            <w:r w:rsidRPr="008223E9">
              <w:rPr>
                <w:rFonts w:ascii="Arial" w:hAnsi="Arial" w:cs="Arial"/>
                <w:b/>
                <w:szCs w:val="28"/>
              </w:rPr>
              <w:t>C  Všeobecné</w:t>
            </w:r>
            <w:proofErr w:type="gramEnd"/>
            <w:r w:rsidRPr="008223E9">
              <w:rPr>
                <w:rFonts w:ascii="Arial" w:hAnsi="Arial" w:cs="Arial"/>
                <w:b/>
                <w:szCs w:val="28"/>
              </w:rPr>
              <w:t xml:space="preserve"> a odborné vzdělávání pro</w:t>
            </w:r>
            <w:r>
              <w:rPr>
                <w:rFonts w:ascii="Arial" w:hAnsi="Arial" w:cs="Arial"/>
                <w:b/>
                <w:szCs w:val="28"/>
              </w:rPr>
              <w:t> </w:t>
            </w:r>
            <w:r w:rsidRPr="008223E9">
              <w:rPr>
                <w:rFonts w:ascii="Arial" w:hAnsi="Arial" w:cs="Arial"/>
                <w:b/>
                <w:szCs w:val="28"/>
              </w:rPr>
              <w:t>uplatnění v dalším studiu i v praxi</w:t>
            </w:r>
            <w:r w:rsidRPr="008223E9">
              <w:rPr>
                <w:rFonts w:ascii="Arial" w:hAnsi="Arial" w:cs="Arial"/>
                <w:szCs w:val="28"/>
              </w:rPr>
              <w:t xml:space="preserve"> </w:t>
            </w:r>
            <w:r>
              <w:rPr>
                <w:rFonts w:ascii="Arial" w:hAnsi="Arial" w:cs="Arial"/>
                <w:szCs w:val="28"/>
              </w:rPr>
              <w:t xml:space="preserve">požadujeme vložit </w:t>
            </w:r>
            <w:r w:rsidRPr="008223E9">
              <w:rPr>
                <w:rFonts w:ascii="Arial" w:hAnsi="Arial" w:cs="Arial"/>
                <w:szCs w:val="28"/>
              </w:rPr>
              <w:t xml:space="preserve">opatření </w:t>
            </w:r>
            <w:r w:rsidRPr="00154CDB">
              <w:rPr>
                <w:rFonts w:ascii="Arial" w:hAnsi="Arial" w:cs="Arial"/>
                <w:b/>
                <w:i/>
                <w:color w:val="C45911"/>
                <w:lang w:eastAsia="cs-CZ"/>
              </w:rPr>
              <w:t>„</w:t>
            </w:r>
            <w:r>
              <w:rPr>
                <w:rFonts w:ascii="Arial" w:hAnsi="Arial" w:cs="Arial"/>
                <w:b/>
                <w:i/>
                <w:color w:val="C45911"/>
                <w:lang w:eastAsia="cs-CZ"/>
              </w:rPr>
              <w:t xml:space="preserve">C.6 </w:t>
            </w:r>
            <w:r w:rsidRPr="00C95CDD">
              <w:rPr>
                <w:rFonts w:ascii="Arial" w:hAnsi="Arial" w:cs="Arial"/>
                <w:b/>
                <w:i/>
                <w:color w:val="C45911"/>
                <w:lang w:eastAsia="cs-CZ"/>
              </w:rPr>
              <w:t>Strategie rozvoje středního odborného vzdělávání</w:t>
            </w:r>
            <w:r>
              <w:rPr>
                <w:rFonts w:ascii="Arial" w:hAnsi="Arial" w:cs="Arial"/>
                <w:b/>
                <w:i/>
                <w:color w:val="C45911"/>
                <w:lang w:eastAsia="cs-CZ"/>
              </w:rPr>
              <w:t xml:space="preserve"> - </w:t>
            </w:r>
            <w:r w:rsidRPr="00C95CDD">
              <w:rPr>
                <w:rFonts w:ascii="Arial" w:hAnsi="Arial" w:cs="Arial"/>
                <w:b/>
                <w:i/>
                <w:color w:val="C45911"/>
                <w:lang w:eastAsia="cs-CZ"/>
              </w:rPr>
              <w:t>Opatření na</w:t>
            </w:r>
            <w:r>
              <w:rPr>
                <w:b/>
                <w:i/>
                <w:color w:val="C45911"/>
                <w:lang w:eastAsia="cs-CZ"/>
              </w:rPr>
              <w:t> </w:t>
            </w:r>
            <w:r w:rsidRPr="00C95CDD">
              <w:rPr>
                <w:rFonts w:ascii="Arial" w:hAnsi="Arial" w:cs="Arial"/>
                <w:b/>
                <w:i/>
                <w:color w:val="C45911"/>
                <w:lang w:eastAsia="cs-CZ"/>
              </w:rPr>
              <w:t>podporu středního odborného školství a oborů s</w:t>
            </w:r>
            <w:r>
              <w:rPr>
                <w:rFonts w:ascii="Arial" w:hAnsi="Arial" w:cs="Arial"/>
                <w:b/>
                <w:i/>
                <w:color w:val="C45911"/>
                <w:lang w:eastAsia="cs-CZ"/>
              </w:rPr>
              <w:t> </w:t>
            </w:r>
            <w:r w:rsidRPr="00C95CDD">
              <w:rPr>
                <w:rFonts w:ascii="Arial" w:hAnsi="Arial" w:cs="Arial"/>
                <w:b/>
                <w:i/>
                <w:color w:val="C45911"/>
                <w:lang w:eastAsia="cs-CZ"/>
              </w:rPr>
              <w:t>technickým či</w:t>
            </w:r>
            <w:r>
              <w:rPr>
                <w:rFonts w:ascii="Arial" w:hAnsi="Arial" w:cs="Arial"/>
                <w:b/>
                <w:i/>
                <w:color w:val="C45911"/>
                <w:lang w:eastAsia="cs-CZ"/>
              </w:rPr>
              <w:t> </w:t>
            </w:r>
            <w:r w:rsidRPr="00C95CDD">
              <w:rPr>
                <w:rFonts w:ascii="Arial" w:hAnsi="Arial" w:cs="Arial"/>
                <w:b/>
                <w:i/>
                <w:color w:val="C45911"/>
                <w:lang w:eastAsia="cs-CZ"/>
              </w:rPr>
              <w:t>řemeslným zaměřením</w:t>
            </w:r>
            <w:r>
              <w:rPr>
                <w:rFonts w:ascii="Arial" w:hAnsi="Arial" w:cs="Arial"/>
                <w:b/>
                <w:i/>
                <w:color w:val="C45911"/>
                <w:lang w:eastAsia="cs-CZ"/>
              </w:rPr>
              <w:t>“</w:t>
            </w:r>
          </w:p>
          <w:p w14:paraId="4E2728CE" w14:textId="77777777" w:rsidR="00E23650" w:rsidRPr="008223E9" w:rsidRDefault="00E23650" w:rsidP="0038142A">
            <w:pPr>
              <w:jc w:val="both"/>
              <w:rPr>
                <w:rFonts w:ascii="Arial" w:hAnsi="Arial" w:cs="Arial"/>
                <w:szCs w:val="28"/>
              </w:rPr>
            </w:pPr>
            <w:r w:rsidRPr="008223E9">
              <w:rPr>
                <w:rFonts w:ascii="Arial" w:hAnsi="Arial" w:cs="Arial"/>
                <w:szCs w:val="28"/>
              </w:rPr>
              <w:t>.</w:t>
            </w:r>
          </w:p>
          <w:p w14:paraId="4F554146" w14:textId="77777777" w:rsidR="00E23650" w:rsidRDefault="00E23650" w:rsidP="0038142A">
            <w:pPr>
              <w:jc w:val="both"/>
              <w:rPr>
                <w:rFonts w:ascii="Arial" w:hAnsi="Arial" w:cs="Arial"/>
                <w:szCs w:val="28"/>
              </w:rPr>
            </w:pPr>
          </w:p>
          <w:p w14:paraId="14B5FD7D" w14:textId="77777777" w:rsidR="00E23650" w:rsidRPr="00154CDB" w:rsidRDefault="00E23650" w:rsidP="00E23650">
            <w:pPr>
              <w:numPr>
                <w:ilvl w:val="0"/>
                <w:numId w:val="19"/>
              </w:numPr>
              <w:ind w:left="374" w:hanging="283"/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Do části </w:t>
            </w:r>
            <w:r>
              <w:rPr>
                <w:rFonts w:ascii="Arial" w:hAnsi="Arial" w:cs="Arial"/>
                <w:b/>
                <w:szCs w:val="28"/>
              </w:rPr>
              <w:t xml:space="preserve">Soubor opatření a klíčových aktivit </w:t>
            </w:r>
            <w:r>
              <w:rPr>
                <w:rFonts w:ascii="Arial" w:hAnsi="Arial" w:cs="Arial"/>
                <w:szCs w:val="28"/>
              </w:rPr>
              <w:lastRenderedPageBreak/>
              <w:t xml:space="preserve">do tabulky doplnit: </w:t>
            </w:r>
            <w:r w:rsidRPr="00EB7A77">
              <w:rPr>
                <w:rFonts w:ascii="Arial" w:hAnsi="Arial" w:cs="Arial"/>
                <w:b/>
                <w:i/>
                <w:color w:val="C45911"/>
                <w:lang w:eastAsia="cs-CZ"/>
              </w:rPr>
              <w:t xml:space="preserve">„C.6 Strategie rozvoje středního odborného </w:t>
            </w:r>
            <w:proofErr w:type="gramStart"/>
            <w:r w:rsidRPr="00EB7A77">
              <w:rPr>
                <w:rFonts w:ascii="Arial" w:hAnsi="Arial" w:cs="Arial"/>
                <w:b/>
                <w:i/>
                <w:color w:val="C45911"/>
                <w:lang w:eastAsia="cs-CZ"/>
              </w:rPr>
              <w:t>vzdělávání - Opatření</w:t>
            </w:r>
            <w:proofErr w:type="gramEnd"/>
            <w:r w:rsidRPr="00EB7A77">
              <w:rPr>
                <w:rFonts w:ascii="Arial" w:hAnsi="Arial" w:cs="Arial"/>
                <w:b/>
                <w:i/>
                <w:color w:val="C45911"/>
                <w:lang w:eastAsia="cs-CZ"/>
              </w:rPr>
              <w:t xml:space="preserve"> na podporu středního odborného školství a oborů s technickým či řemeslným zaměřením“</w:t>
            </w:r>
          </w:p>
          <w:p w14:paraId="24CA5CD5" w14:textId="77777777" w:rsidR="00E23650" w:rsidRDefault="00E23650" w:rsidP="0038142A">
            <w:pPr>
              <w:jc w:val="both"/>
              <w:rPr>
                <w:rFonts w:ascii="Arial" w:hAnsi="Arial" w:cs="Arial"/>
                <w:b/>
                <w:i/>
                <w:color w:val="C45911"/>
                <w:lang w:eastAsia="cs-CZ"/>
              </w:rPr>
            </w:pPr>
          </w:p>
          <w:p w14:paraId="0258289B" w14:textId="77777777" w:rsidR="00E23650" w:rsidRPr="005B260E" w:rsidRDefault="00E23650" w:rsidP="00E23650">
            <w:pPr>
              <w:numPr>
                <w:ilvl w:val="0"/>
                <w:numId w:val="19"/>
              </w:numPr>
              <w:ind w:left="378"/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Za </w:t>
            </w:r>
            <w:r w:rsidRPr="008223E9">
              <w:rPr>
                <w:rFonts w:ascii="Arial" w:hAnsi="Arial" w:cs="Arial"/>
                <w:b/>
                <w:szCs w:val="28"/>
              </w:rPr>
              <w:t>Opatření C.5 Zlepšování nástrojů pro vstup absolventů na trh práce</w:t>
            </w:r>
            <w:r>
              <w:rPr>
                <w:rFonts w:ascii="Arial" w:hAnsi="Arial" w:cs="Arial"/>
                <w:b/>
                <w:szCs w:val="28"/>
              </w:rPr>
              <w:t xml:space="preserve"> </w:t>
            </w:r>
            <w:r>
              <w:rPr>
                <w:rFonts w:ascii="Arial" w:hAnsi="Arial" w:cs="Arial"/>
                <w:szCs w:val="28"/>
              </w:rPr>
              <w:t xml:space="preserve">doplnit část kapitoly: </w:t>
            </w:r>
            <w:r w:rsidRPr="00154CDB">
              <w:rPr>
                <w:rFonts w:ascii="Arial" w:hAnsi="Arial" w:cs="Arial"/>
                <w:b/>
                <w:i/>
                <w:color w:val="C45911"/>
                <w:lang w:eastAsia="cs-CZ"/>
              </w:rPr>
              <w:t xml:space="preserve">„Opatření </w:t>
            </w:r>
            <w:r>
              <w:rPr>
                <w:rFonts w:ascii="Arial" w:hAnsi="Arial" w:cs="Arial"/>
                <w:b/>
                <w:i/>
                <w:color w:val="C45911"/>
                <w:lang w:eastAsia="cs-CZ"/>
              </w:rPr>
              <w:t xml:space="preserve">C.6 </w:t>
            </w:r>
            <w:r w:rsidRPr="00C95CDD">
              <w:rPr>
                <w:rFonts w:ascii="Arial" w:hAnsi="Arial" w:cs="Arial"/>
                <w:b/>
                <w:i/>
                <w:color w:val="C45911"/>
                <w:lang w:eastAsia="cs-CZ"/>
              </w:rPr>
              <w:t>Strategie rozvoje středního odborného vzdělávání - Opatření na podporu středního odborného školství a oborů s</w:t>
            </w:r>
            <w:r>
              <w:rPr>
                <w:rFonts w:ascii="Arial" w:hAnsi="Arial" w:cs="Arial"/>
                <w:b/>
                <w:i/>
                <w:color w:val="C45911"/>
                <w:lang w:eastAsia="cs-CZ"/>
              </w:rPr>
              <w:t> </w:t>
            </w:r>
            <w:r w:rsidRPr="00C95CDD">
              <w:rPr>
                <w:rFonts w:ascii="Arial" w:hAnsi="Arial" w:cs="Arial"/>
                <w:b/>
                <w:i/>
                <w:color w:val="C45911"/>
                <w:lang w:eastAsia="cs-CZ"/>
              </w:rPr>
              <w:t>technickým či</w:t>
            </w:r>
            <w:r>
              <w:rPr>
                <w:rFonts w:ascii="Arial" w:hAnsi="Arial" w:cs="Arial"/>
                <w:b/>
                <w:i/>
                <w:color w:val="C45911"/>
                <w:lang w:eastAsia="cs-CZ"/>
              </w:rPr>
              <w:t> </w:t>
            </w:r>
            <w:r w:rsidRPr="00C95CDD">
              <w:rPr>
                <w:rFonts w:ascii="Arial" w:hAnsi="Arial" w:cs="Arial"/>
                <w:b/>
                <w:i/>
                <w:color w:val="C45911"/>
                <w:lang w:eastAsia="cs-CZ"/>
              </w:rPr>
              <w:t>řemeslným zaměřením</w:t>
            </w:r>
            <w:proofErr w:type="gramStart"/>
            <w:r>
              <w:rPr>
                <w:rFonts w:ascii="Arial" w:hAnsi="Arial" w:cs="Arial"/>
                <w:b/>
                <w:i/>
                <w:color w:val="C45911"/>
                <w:lang w:eastAsia="cs-CZ"/>
              </w:rPr>
              <w:t xml:space="preserve">“ </w:t>
            </w:r>
            <w:r w:rsidRPr="00154CDB">
              <w:rPr>
                <w:rFonts w:ascii="Arial" w:hAnsi="Arial" w:cs="Arial"/>
                <w:b/>
                <w:i/>
                <w:color w:val="C45911"/>
                <w:lang w:eastAsia="cs-CZ"/>
              </w:rPr>
              <w:t>.</w:t>
            </w:r>
            <w:proofErr w:type="gramEnd"/>
          </w:p>
          <w:p w14:paraId="0B1A71E4" w14:textId="77777777" w:rsidR="00E23650" w:rsidRDefault="00E23650" w:rsidP="0038142A">
            <w:pPr>
              <w:pStyle w:val="Odstavecseseznamem"/>
              <w:jc w:val="both"/>
              <w:rPr>
                <w:rFonts w:ascii="Arial" w:hAnsi="Arial" w:cs="Arial"/>
                <w:szCs w:val="28"/>
              </w:rPr>
            </w:pPr>
          </w:p>
          <w:p w14:paraId="108FF86C" w14:textId="77777777" w:rsidR="00E23650" w:rsidRDefault="00E23650" w:rsidP="0038142A">
            <w:pPr>
              <w:ind w:left="378"/>
              <w:jc w:val="both"/>
              <w:rPr>
                <w:rFonts w:ascii="Arial" w:hAnsi="Arial" w:cs="Arial"/>
                <w:szCs w:val="28"/>
              </w:rPr>
            </w:pPr>
            <w:r w:rsidRPr="00641FA1">
              <w:rPr>
                <w:rFonts w:ascii="Arial" w:hAnsi="Arial" w:cs="Arial"/>
                <w:szCs w:val="28"/>
              </w:rPr>
              <w:t xml:space="preserve">a </w:t>
            </w:r>
            <w:r>
              <w:rPr>
                <w:rFonts w:ascii="Arial" w:hAnsi="Arial" w:cs="Arial"/>
                <w:szCs w:val="28"/>
              </w:rPr>
              <w:t xml:space="preserve">opatření </w:t>
            </w:r>
            <w:r w:rsidRPr="00641FA1">
              <w:rPr>
                <w:rFonts w:ascii="Arial" w:hAnsi="Arial" w:cs="Arial"/>
                <w:szCs w:val="28"/>
              </w:rPr>
              <w:t>doplnit textem:</w:t>
            </w:r>
          </w:p>
          <w:p w14:paraId="7E3A015E" w14:textId="77777777" w:rsidR="00E23650" w:rsidRPr="00641FA1" w:rsidRDefault="00E23650" w:rsidP="0038142A">
            <w:pPr>
              <w:ind w:left="378" w:firstLine="142"/>
              <w:jc w:val="both"/>
              <w:rPr>
                <w:rFonts w:ascii="Arial" w:hAnsi="Arial" w:cs="Arial"/>
                <w:b/>
                <w:i/>
                <w:color w:val="C45911"/>
                <w:lang w:eastAsia="cs-CZ"/>
              </w:rPr>
            </w:pPr>
            <w:r>
              <w:rPr>
                <w:rFonts w:ascii="Arial" w:hAnsi="Arial" w:cs="Arial"/>
                <w:b/>
                <w:i/>
                <w:color w:val="C45911"/>
                <w:lang w:eastAsia="cs-CZ"/>
              </w:rPr>
              <w:t>„</w:t>
            </w:r>
            <w:r w:rsidRPr="00641FA1">
              <w:rPr>
                <w:rFonts w:ascii="Arial" w:hAnsi="Arial" w:cs="Arial"/>
                <w:b/>
                <w:i/>
                <w:color w:val="C45911"/>
                <w:lang w:eastAsia="cs-CZ"/>
              </w:rPr>
              <w:t>Problematika je řešena formou deseti dílčích opatření v samostatném dokumentu, Strategii rozvoje středního odborného vzdělávání (dále jen „Strategie“), zpracovávaném MŠMT ve</w:t>
            </w:r>
            <w:r>
              <w:rPr>
                <w:rFonts w:ascii="Arial" w:hAnsi="Arial" w:cs="Arial"/>
                <w:b/>
                <w:i/>
                <w:color w:val="C45911"/>
                <w:lang w:eastAsia="cs-CZ"/>
              </w:rPr>
              <w:t> </w:t>
            </w:r>
            <w:r w:rsidRPr="00641FA1">
              <w:rPr>
                <w:rFonts w:ascii="Arial" w:hAnsi="Arial" w:cs="Arial"/>
                <w:b/>
                <w:i/>
                <w:color w:val="C45911"/>
                <w:lang w:eastAsia="cs-CZ"/>
              </w:rPr>
              <w:t>spolupráci se sociálními partnery (SPS). Z</w:t>
            </w:r>
            <w:r>
              <w:rPr>
                <w:rFonts w:ascii="Arial" w:hAnsi="Arial" w:cs="Arial"/>
                <w:b/>
                <w:i/>
                <w:color w:val="C45911"/>
                <w:lang w:eastAsia="cs-CZ"/>
              </w:rPr>
              <w:t> </w:t>
            </w:r>
            <w:r w:rsidRPr="00641FA1">
              <w:rPr>
                <w:rFonts w:ascii="Arial" w:hAnsi="Arial" w:cs="Arial"/>
                <w:b/>
                <w:i/>
                <w:color w:val="C45911"/>
                <w:lang w:eastAsia="cs-CZ"/>
              </w:rPr>
              <w:t>každého opatření bude definována klíčová aktivita a příslušná kritéria.</w:t>
            </w:r>
          </w:p>
          <w:p w14:paraId="1253624F" w14:textId="77777777" w:rsidR="00E23650" w:rsidRPr="00641FA1" w:rsidRDefault="00E23650" w:rsidP="0038142A">
            <w:pPr>
              <w:ind w:left="378" w:firstLine="142"/>
              <w:jc w:val="both"/>
              <w:rPr>
                <w:rFonts w:ascii="Arial" w:hAnsi="Arial" w:cs="Arial"/>
                <w:b/>
                <w:i/>
                <w:color w:val="C45911"/>
                <w:lang w:eastAsia="cs-CZ"/>
              </w:rPr>
            </w:pPr>
            <w:r w:rsidRPr="00641FA1">
              <w:rPr>
                <w:rFonts w:ascii="Arial" w:hAnsi="Arial" w:cs="Arial"/>
                <w:b/>
                <w:i/>
                <w:color w:val="C45911"/>
                <w:lang w:eastAsia="cs-CZ"/>
              </w:rPr>
              <w:t>Tento dokument bude tvořit nedílnou součást Dlouhodobého záměru vzdělávání a rozvoje vzdělávací soustavy ČR 2023–2027</w:t>
            </w:r>
          </w:p>
          <w:p w14:paraId="23EF22D4" w14:textId="77777777" w:rsidR="00E23650" w:rsidRPr="00641FA1" w:rsidRDefault="00E23650" w:rsidP="0038142A">
            <w:pPr>
              <w:ind w:left="378" w:firstLine="142"/>
              <w:jc w:val="both"/>
              <w:rPr>
                <w:rFonts w:ascii="Arial" w:hAnsi="Arial" w:cs="Arial"/>
                <w:b/>
                <w:i/>
                <w:color w:val="C45911"/>
                <w:lang w:eastAsia="cs-CZ"/>
              </w:rPr>
            </w:pPr>
            <w:r w:rsidRPr="00641FA1">
              <w:rPr>
                <w:rFonts w:ascii="Arial" w:hAnsi="Arial" w:cs="Arial"/>
                <w:b/>
                <w:i/>
                <w:color w:val="C45911"/>
                <w:lang w:eastAsia="cs-CZ"/>
              </w:rPr>
              <w:t xml:space="preserve">Strategie vychází z jednotných postojů </w:t>
            </w:r>
            <w:r w:rsidRPr="00641FA1">
              <w:rPr>
                <w:rFonts w:ascii="Arial" w:hAnsi="Arial" w:cs="Arial"/>
                <w:b/>
                <w:i/>
                <w:color w:val="C45911"/>
                <w:lang w:eastAsia="cs-CZ"/>
              </w:rPr>
              <w:lastRenderedPageBreak/>
              <w:t>odborné veřejnosti, realizačních firem, projektantů, odborných škol, pedagogů, dlouhodobých zkušeností, fungujících příkladů dobré praxe, modifikuje duální systém vzdělávání a přizpůsobuje jej podmínkám Č</w:t>
            </w:r>
            <w:r>
              <w:rPr>
                <w:rFonts w:ascii="Arial" w:hAnsi="Arial" w:cs="Arial"/>
                <w:b/>
                <w:i/>
                <w:color w:val="C45911"/>
                <w:lang w:eastAsia="cs-CZ"/>
              </w:rPr>
              <w:t>eské republiky. Na těchto princi</w:t>
            </w:r>
            <w:r w:rsidRPr="00641FA1">
              <w:rPr>
                <w:rFonts w:ascii="Arial" w:hAnsi="Arial" w:cs="Arial"/>
                <w:b/>
                <w:i/>
                <w:color w:val="C45911"/>
                <w:lang w:eastAsia="cs-CZ"/>
              </w:rPr>
              <w:t>pech a na závěrech dříve realizovaných projektů je usilováno o to, aby tento dokument byl považován za jeden ze</w:t>
            </w:r>
            <w:r>
              <w:rPr>
                <w:rFonts w:ascii="Arial" w:hAnsi="Arial" w:cs="Arial"/>
                <w:b/>
                <w:i/>
                <w:color w:val="C45911"/>
                <w:lang w:eastAsia="cs-CZ"/>
              </w:rPr>
              <w:t> </w:t>
            </w:r>
            <w:r w:rsidRPr="00641FA1">
              <w:rPr>
                <w:rFonts w:ascii="Arial" w:hAnsi="Arial" w:cs="Arial"/>
                <w:b/>
                <w:i/>
                <w:color w:val="C45911"/>
                <w:lang w:eastAsia="cs-CZ"/>
              </w:rPr>
              <w:t>základních dokumentů vedoucích ke zlepšení výchovy žáků v technických a řemeslných oborech v České republice.</w:t>
            </w:r>
          </w:p>
          <w:p w14:paraId="2817E659" w14:textId="77777777" w:rsidR="00E23650" w:rsidRPr="00641FA1" w:rsidRDefault="00E23650" w:rsidP="0038142A">
            <w:pPr>
              <w:ind w:left="378" w:firstLine="142"/>
              <w:jc w:val="both"/>
              <w:rPr>
                <w:rFonts w:ascii="Arial" w:hAnsi="Arial" w:cs="Arial"/>
                <w:b/>
                <w:i/>
                <w:color w:val="C45911"/>
                <w:lang w:eastAsia="cs-CZ"/>
              </w:rPr>
            </w:pPr>
            <w:r w:rsidRPr="00641FA1">
              <w:rPr>
                <w:rFonts w:ascii="Arial" w:hAnsi="Arial" w:cs="Arial"/>
                <w:b/>
                <w:i/>
                <w:color w:val="C45911"/>
                <w:lang w:eastAsia="cs-CZ"/>
              </w:rPr>
              <w:t>Současný stav výuky v řemeslných oborech v</w:t>
            </w:r>
            <w:r>
              <w:rPr>
                <w:rFonts w:ascii="Arial" w:hAnsi="Arial" w:cs="Arial"/>
                <w:b/>
                <w:i/>
                <w:color w:val="C45911"/>
                <w:lang w:eastAsia="cs-CZ"/>
              </w:rPr>
              <w:t> </w:t>
            </w:r>
            <w:r w:rsidRPr="00641FA1">
              <w:rPr>
                <w:rFonts w:ascii="Arial" w:hAnsi="Arial" w:cs="Arial"/>
                <w:b/>
                <w:i/>
                <w:color w:val="C45911"/>
                <w:lang w:eastAsia="cs-CZ"/>
              </w:rPr>
              <w:t>ČR, zejména v oblasti kvantity, nepokrývá požadavky</w:t>
            </w:r>
            <w:r>
              <w:rPr>
                <w:rFonts w:ascii="Arial" w:hAnsi="Arial" w:cs="Arial"/>
                <w:b/>
                <w:i/>
                <w:color w:val="C45911"/>
                <w:lang w:eastAsia="cs-CZ"/>
              </w:rPr>
              <w:t xml:space="preserve"> a prostou poptávku průmyslu po </w:t>
            </w:r>
            <w:r w:rsidRPr="00641FA1">
              <w:rPr>
                <w:rFonts w:ascii="Arial" w:hAnsi="Arial" w:cs="Arial"/>
                <w:b/>
                <w:i/>
                <w:color w:val="C45911"/>
                <w:lang w:eastAsia="cs-CZ"/>
              </w:rPr>
              <w:t>kvalifikovaných pracovnících. Ve společnosti je patrná jistá míra pohrdání manuální prací. Reflexí pak je v první řadě nedostatečná podpora odborného školství a nezájem uchazečů, především kvalitních. Tak trochu paradoxně pak na druhé straně podléhá technické vzdělání a řemeslo siln</w:t>
            </w:r>
            <w:r>
              <w:rPr>
                <w:rFonts w:ascii="Arial" w:hAnsi="Arial" w:cs="Arial"/>
                <w:b/>
                <w:i/>
                <w:color w:val="C45911"/>
                <w:lang w:eastAsia="cs-CZ"/>
              </w:rPr>
              <w:t>é kritice z </w:t>
            </w:r>
            <w:r w:rsidRPr="00641FA1">
              <w:rPr>
                <w:rFonts w:ascii="Arial" w:hAnsi="Arial" w:cs="Arial"/>
                <w:b/>
                <w:i/>
                <w:color w:val="C45911"/>
                <w:lang w:eastAsia="cs-CZ"/>
              </w:rPr>
              <w:t xml:space="preserve">pohledu kvality, ale i kvantity, nakonec však také náročnosti jmenované skupiny oborů. </w:t>
            </w:r>
          </w:p>
          <w:p w14:paraId="37ECBB2D" w14:textId="77777777" w:rsidR="00E23650" w:rsidRPr="00641FA1" w:rsidRDefault="00E23650" w:rsidP="0038142A">
            <w:pPr>
              <w:ind w:left="378" w:firstLine="142"/>
              <w:jc w:val="both"/>
              <w:rPr>
                <w:rFonts w:ascii="Arial" w:hAnsi="Arial" w:cs="Arial"/>
                <w:b/>
                <w:i/>
                <w:color w:val="C45911"/>
                <w:lang w:eastAsia="cs-CZ"/>
              </w:rPr>
            </w:pPr>
            <w:r w:rsidRPr="00641FA1">
              <w:rPr>
                <w:rFonts w:ascii="Arial" w:hAnsi="Arial" w:cs="Arial"/>
                <w:b/>
                <w:i/>
                <w:color w:val="C45911"/>
                <w:lang w:eastAsia="cs-CZ"/>
              </w:rPr>
              <w:lastRenderedPageBreak/>
              <w:t>S ohledem na aktuální situace přichází Strategie s návrhy opatření pro zlepšení současného stavu. Realizace navržených opatření bude faktickým naplněním celospolečensky proklamované podpory techn</w:t>
            </w:r>
            <w:r>
              <w:rPr>
                <w:rFonts w:ascii="Arial" w:hAnsi="Arial" w:cs="Arial"/>
                <w:b/>
                <w:i/>
                <w:color w:val="C45911"/>
                <w:lang w:eastAsia="cs-CZ"/>
              </w:rPr>
              <w:t>ického vzdělávání a řemesel při </w:t>
            </w:r>
            <w:r w:rsidRPr="00641FA1">
              <w:rPr>
                <w:rFonts w:ascii="Arial" w:hAnsi="Arial" w:cs="Arial"/>
                <w:b/>
                <w:i/>
                <w:color w:val="C45911"/>
                <w:lang w:eastAsia="cs-CZ"/>
              </w:rPr>
              <w:t>respektování potřeb společnosti.</w:t>
            </w:r>
          </w:p>
          <w:p w14:paraId="0FD574D5" w14:textId="77777777" w:rsidR="00E23650" w:rsidRPr="00083E6B" w:rsidRDefault="00E23650" w:rsidP="0038142A">
            <w:pPr>
              <w:ind w:left="378" w:firstLine="142"/>
              <w:jc w:val="both"/>
              <w:rPr>
                <w:rFonts w:ascii="Arial" w:hAnsi="Arial" w:cs="Arial"/>
                <w:b/>
                <w:i/>
                <w:color w:val="C45911"/>
                <w:lang w:eastAsia="cs-CZ"/>
              </w:rPr>
            </w:pPr>
            <w:r w:rsidRPr="00641FA1">
              <w:rPr>
                <w:rFonts w:ascii="Arial" w:hAnsi="Arial" w:cs="Arial"/>
                <w:b/>
                <w:i/>
                <w:color w:val="C45911"/>
                <w:lang w:eastAsia="cs-CZ"/>
              </w:rPr>
              <w:t>Strategie nabízí pragmatické jednání nad uvedenými myšlenkami a návrhy, které povedou ke splnění cílů</w:t>
            </w:r>
            <w:r>
              <w:rPr>
                <w:rFonts w:ascii="Arial" w:hAnsi="Arial" w:cs="Arial"/>
                <w:b/>
                <w:i/>
                <w:color w:val="C45911"/>
                <w:lang w:eastAsia="cs-CZ"/>
              </w:rPr>
              <w:t xml:space="preserve"> naplnění vzdělávací politiky v </w:t>
            </w:r>
            <w:r w:rsidRPr="00641FA1">
              <w:rPr>
                <w:rFonts w:ascii="Arial" w:hAnsi="Arial" w:cs="Arial"/>
                <w:b/>
                <w:i/>
                <w:color w:val="C45911"/>
                <w:lang w:eastAsia="cs-CZ"/>
              </w:rPr>
              <w:t>České republice a splnění programového prohlášení současné Vlády ČR.</w:t>
            </w:r>
            <w:r>
              <w:rPr>
                <w:rFonts w:ascii="Arial" w:hAnsi="Arial" w:cs="Arial"/>
                <w:b/>
                <w:i/>
                <w:color w:val="C45911"/>
                <w:lang w:eastAsia="cs-CZ"/>
              </w:rPr>
              <w:t>“</w:t>
            </w:r>
          </w:p>
          <w:p w14:paraId="0AEFCDCC" w14:textId="77777777" w:rsidR="00E23650" w:rsidRDefault="00E23650" w:rsidP="0038142A">
            <w:pPr>
              <w:ind w:left="374"/>
              <w:jc w:val="both"/>
              <w:rPr>
                <w:rFonts w:ascii="Arial" w:hAnsi="Arial" w:cs="Arial"/>
                <w:szCs w:val="28"/>
              </w:rPr>
            </w:pPr>
          </w:p>
          <w:p w14:paraId="2CB6CA5A" w14:textId="77777777" w:rsidR="00E23650" w:rsidRPr="00083E6B" w:rsidRDefault="00E23650" w:rsidP="0038142A">
            <w:pPr>
              <w:ind w:left="374"/>
              <w:jc w:val="both"/>
              <w:rPr>
                <w:rFonts w:ascii="Arial" w:hAnsi="Arial" w:cs="Arial"/>
                <w:b/>
                <w:color w:val="C45911"/>
                <w:szCs w:val="28"/>
              </w:rPr>
            </w:pPr>
            <w:r w:rsidRPr="00083E6B">
              <w:rPr>
                <w:rFonts w:ascii="Arial" w:hAnsi="Arial" w:cs="Arial"/>
                <w:b/>
                <w:color w:val="C45911"/>
                <w:szCs w:val="28"/>
              </w:rPr>
              <w:t>Období realizace Q4/2023 až Q4/2024</w:t>
            </w:r>
          </w:p>
          <w:p w14:paraId="7B7D9DDB" w14:textId="77777777" w:rsidR="00E23650" w:rsidRPr="00083E6B" w:rsidRDefault="00E23650" w:rsidP="0038142A">
            <w:pPr>
              <w:ind w:left="374"/>
              <w:jc w:val="both"/>
              <w:rPr>
                <w:rFonts w:ascii="Arial" w:hAnsi="Arial" w:cs="Arial"/>
                <w:color w:val="C45911"/>
                <w:szCs w:val="28"/>
              </w:rPr>
            </w:pPr>
          </w:p>
          <w:p w14:paraId="1D1DDF7C" w14:textId="77777777" w:rsidR="00E23650" w:rsidRPr="00083E6B" w:rsidRDefault="00E23650" w:rsidP="0038142A">
            <w:pPr>
              <w:ind w:left="374"/>
              <w:jc w:val="both"/>
              <w:rPr>
                <w:rFonts w:ascii="Arial" w:hAnsi="Arial" w:cs="Arial"/>
                <w:color w:val="C45911"/>
                <w:szCs w:val="28"/>
              </w:rPr>
            </w:pPr>
          </w:p>
          <w:p w14:paraId="1E135484" w14:textId="77777777" w:rsidR="00E23650" w:rsidRDefault="00E23650" w:rsidP="00E23650">
            <w:pPr>
              <w:numPr>
                <w:ilvl w:val="0"/>
                <w:numId w:val="19"/>
              </w:numPr>
              <w:ind w:left="378"/>
              <w:jc w:val="both"/>
              <w:rPr>
                <w:rFonts w:ascii="Arial" w:hAnsi="Arial" w:cs="Arial"/>
                <w:szCs w:val="28"/>
              </w:rPr>
            </w:pPr>
            <w:r w:rsidRPr="00F6253F">
              <w:rPr>
                <w:rFonts w:ascii="Arial" w:hAnsi="Arial" w:cs="Arial"/>
                <w:szCs w:val="28"/>
              </w:rPr>
              <w:t xml:space="preserve">Doplnit tabulku </w:t>
            </w:r>
            <w:r w:rsidRPr="00F6253F">
              <w:rPr>
                <w:rFonts w:ascii="Arial" w:hAnsi="Arial" w:cs="Arial"/>
                <w:b/>
                <w:szCs w:val="28"/>
              </w:rPr>
              <w:t xml:space="preserve">Přehled opatření </w:t>
            </w:r>
            <w:r w:rsidRPr="00F6253F">
              <w:rPr>
                <w:rFonts w:ascii="Arial" w:hAnsi="Arial" w:cs="Arial"/>
                <w:szCs w:val="28"/>
              </w:rPr>
              <w:t xml:space="preserve">o příslušné opatření </w:t>
            </w:r>
            <w:r>
              <w:rPr>
                <w:rFonts w:ascii="Arial" w:hAnsi="Arial" w:cs="Arial"/>
                <w:szCs w:val="28"/>
              </w:rPr>
              <w:t xml:space="preserve">C.6 </w:t>
            </w:r>
            <w:r w:rsidRPr="00F6253F">
              <w:rPr>
                <w:rFonts w:ascii="Arial" w:hAnsi="Arial" w:cs="Arial"/>
                <w:szCs w:val="28"/>
              </w:rPr>
              <w:t>a odkázat na klíčové aktivity</w:t>
            </w:r>
            <w:r>
              <w:rPr>
                <w:rFonts w:ascii="Arial" w:hAnsi="Arial" w:cs="Arial"/>
                <w:szCs w:val="28"/>
              </w:rPr>
              <w:t>, např. takto:</w:t>
            </w:r>
          </w:p>
          <w:p w14:paraId="669E15D5" w14:textId="77777777" w:rsidR="00E23650" w:rsidRPr="00083E6B" w:rsidRDefault="00E23650" w:rsidP="0038142A">
            <w:pPr>
              <w:ind w:left="378"/>
              <w:jc w:val="both"/>
              <w:rPr>
                <w:i/>
                <w:iCs/>
                <w:color w:val="C45911"/>
              </w:rPr>
            </w:pPr>
            <w:r>
              <w:rPr>
                <w:rFonts w:ascii="Arial" w:hAnsi="Arial" w:cs="Arial"/>
                <w:szCs w:val="28"/>
              </w:rPr>
              <w:t xml:space="preserve">Do kolonky klíčových aktivit zapsat: </w:t>
            </w:r>
            <w:r w:rsidRPr="00083E6B">
              <w:rPr>
                <w:i/>
                <w:iCs/>
                <w:color w:val="C45911"/>
              </w:rPr>
              <w:t xml:space="preserve"> </w:t>
            </w:r>
          </w:p>
          <w:p w14:paraId="59B869F7" w14:textId="77777777" w:rsidR="00E23650" w:rsidRPr="000B0DB9" w:rsidRDefault="00E23650" w:rsidP="0038142A">
            <w:pPr>
              <w:ind w:left="378"/>
              <w:jc w:val="both"/>
              <w:rPr>
                <w:rFonts w:ascii="Arial" w:hAnsi="Arial" w:cs="Arial"/>
                <w:b/>
                <w:i/>
                <w:color w:val="C45911"/>
                <w:lang w:eastAsia="cs-CZ"/>
              </w:rPr>
            </w:pPr>
            <w:r w:rsidRPr="000B0DB9">
              <w:rPr>
                <w:rFonts w:ascii="Arial" w:hAnsi="Arial" w:cs="Arial"/>
                <w:b/>
                <w:i/>
                <w:color w:val="C45911"/>
                <w:lang w:eastAsia="cs-CZ"/>
              </w:rPr>
              <w:t>Problematika je řešena formou deseti dílčích opatření v samostatném dokumentu, Strategii rozvoje středního odborného vzdělávání.</w:t>
            </w:r>
          </w:p>
          <w:p w14:paraId="12C5FD8D" w14:textId="77777777" w:rsidR="00E23650" w:rsidRPr="000B0DB9" w:rsidRDefault="00E23650" w:rsidP="0038142A">
            <w:pPr>
              <w:ind w:left="378"/>
              <w:jc w:val="both"/>
              <w:rPr>
                <w:rFonts w:ascii="Arial" w:hAnsi="Arial" w:cs="Arial"/>
                <w:b/>
                <w:i/>
                <w:color w:val="C45911"/>
                <w:lang w:eastAsia="cs-CZ"/>
              </w:rPr>
            </w:pPr>
          </w:p>
          <w:p w14:paraId="509CD560" w14:textId="77777777" w:rsidR="00E23650" w:rsidRPr="000B0DB9" w:rsidRDefault="00E23650" w:rsidP="0038142A">
            <w:pPr>
              <w:ind w:left="378"/>
              <w:jc w:val="both"/>
              <w:rPr>
                <w:rFonts w:ascii="Arial" w:hAnsi="Arial" w:cs="Arial"/>
                <w:b/>
                <w:i/>
                <w:color w:val="C45911"/>
                <w:lang w:eastAsia="cs-CZ"/>
              </w:rPr>
            </w:pPr>
            <w:r w:rsidRPr="000B0DB9">
              <w:rPr>
                <w:rFonts w:ascii="Arial" w:hAnsi="Arial" w:cs="Arial"/>
                <w:b/>
                <w:i/>
                <w:color w:val="C45911"/>
                <w:lang w:eastAsia="cs-CZ"/>
              </w:rPr>
              <w:t>Zahrnuje 10 klíčových aktivit C.6.1 až C.6.10</w:t>
            </w:r>
          </w:p>
          <w:p w14:paraId="2BB2A4D5" w14:textId="77777777" w:rsidR="00E23650" w:rsidRPr="00F6253F" w:rsidRDefault="00E23650" w:rsidP="0038142A">
            <w:pPr>
              <w:ind w:left="378"/>
              <w:jc w:val="both"/>
              <w:rPr>
                <w:rFonts w:ascii="Arial" w:hAnsi="Arial" w:cs="Arial"/>
                <w:szCs w:val="28"/>
              </w:rPr>
            </w:pPr>
          </w:p>
          <w:p w14:paraId="7F6A5ADD" w14:textId="77777777" w:rsidR="00E23650" w:rsidRDefault="00E23650" w:rsidP="0038142A">
            <w:pPr>
              <w:jc w:val="both"/>
              <w:rPr>
                <w:rFonts w:ascii="Arial" w:hAnsi="Arial" w:cs="Arial"/>
                <w:szCs w:val="28"/>
              </w:rPr>
            </w:pPr>
            <w:r w:rsidRPr="007D34FE">
              <w:rPr>
                <w:rFonts w:ascii="Arial" w:hAnsi="Arial" w:cs="Arial"/>
                <w:szCs w:val="28"/>
              </w:rPr>
              <w:t>Zdůvodnění:</w:t>
            </w:r>
          </w:p>
          <w:p w14:paraId="2E2CC82C" w14:textId="77777777" w:rsidR="00E23650" w:rsidRDefault="00E23650" w:rsidP="0038142A">
            <w:pPr>
              <w:spacing w:after="60" w:line="276" w:lineRule="auto"/>
              <w:jc w:val="both"/>
              <w:rPr>
                <w:rFonts w:ascii="Arial" w:hAnsi="Arial" w:cs="Arial"/>
                <w:iCs/>
                <w:szCs w:val="28"/>
              </w:rPr>
            </w:pPr>
            <w:r>
              <w:rPr>
                <w:rFonts w:ascii="Arial" w:hAnsi="Arial" w:cs="Arial"/>
                <w:iCs/>
                <w:szCs w:val="28"/>
              </w:rPr>
              <w:t xml:space="preserve">Na zasedání 168. Plenární schůze Rady hospodářské </w:t>
            </w:r>
            <w:r>
              <w:rPr>
                <w:rFonts w:ascii="Arial" w:hAnsi="Arial" w:cs="Arial"/>
                <w:iCs/>
                <w:szCs w:val="28"/>
              </w:rPr>
              <w:lastRenderedPageBreak/>
              <w:t>a sociální dohody ČR (dále jen „RHSD“), konané dne 16</w:t>
            </w:r>
            <w:r w:rsidRPr="00594B11">
              <w:rPr>
                <w:rFonts w:ascii="Arial" w:hAnsi="Arial" w:cs="Arial"/>
                <w:iCs/>
                <w:szCs w:val="28"/>
              </w:rPr>
              <w:t>.</w:t>
            </w:r>
            <w:r>
              <w:rPr>
                <w:rFonts w:ascii="Arial" w:hAnsi="Arial" w:cs="Arial"/>
                <w:iCs/>
                <w:szCs w:val="28"/>
              </w:rPr>
              <w:t> 1</w:t>
            </w:r>
            <w:r w:rsidRPr="00594B11">
              <w:rPr>
                <w:rFonts w:ascii="Arial" w:hAnsi="Arial" w:cs="Arial"/>
                <w:iCs/>
                <w:szCs w:val="28"/>
              </w:rPr>
              <w:t>.</w:t>
            </w:r>
            <w:r>
              <w:rPr>
                <w:rFonts w:ascii="Arial" w:hAnsi="Arial" w:cs="Arial"/>
                <w:iCs/>
                <w:szCs w:val="28"/>
              </w:rPr>
              <w:t> </w:t>
            </w:r>
            <w:r w:rsidRPr="00594B11">
              <w:rPr>
                <w:rFonts w:ascii="Arial" w:hAnsi="Arial" w:cs="Arial"/>
                <w:iCs/>
                <w:szCs w:val="28"/>
              </w:rPr>
              <w:t>2023</w:t>
            </w:r>
            <w:r>
              <w:rPr>
                <w:rFonts w:ascii="Arial" w:hAnsi="Arial" w:cs="Arial"/>
                <w:iCs/>
                <w:szCs w:val="28"/>
              </w:rPr>
              <w:t xml:space="preserve"> na Úřadu vlády, bylo </w:t>
            </w:r>
            <w:proofErr w:type="gramStart"/>
            <w:r>
              <w:rPr>
                <w:rFonts w:ascii="Arial" w:hAnsi="Arial" w:cs="Arial"/>
                <w:iCs/>
                <w:szCs w:val="28"/>
              </w:rPr>
              <w:t xml:space="preserve">uloženo </w:t>
            </w:r>
            <w:r>
              <w:t xml:space="preserve"> </w:t>
            </w:r>
            <w:r w:rsidRPr="00BC6C07">
              <w:rPr>
                <w:rFonts w:ascii="Arial" w:hAnsi="Arial" w:cs="Arial"/>
                <w:iCs/>
                <w:szCs w:val="28"/>
              </w:rPr>
              <w:t>projednat</w:t>
            </w:r>
            <w:proofErr w:type="gramEnd"/>
            <w:r w:rsidRPr="00BC6C07">
              <w:rPr>
                <w:rFonts w:ascii="Arial" w:hAnsi="Arial" w:cs="Arial"/>
                <w:iCs/>
                <w:szCs w:val="28"/>
              </w:rPr>
              <w:t xml:space="preserve"> v rámci Pracovního týmu RHSD</w:t>
            </w:r>
            <w:r>
              <w:rPr>
                <w:rFonts w:ascii="Arial" w:hAnsi="Arial" w:cs="Arial"/>
                <w:iCs/>
                <w:szCs w:val="28"/>
              </w:rPr>
              <w:t xml:space="preserve"> </w:t>
            </w:r>
            <w:r w:rsidRPr="00BC6C07">
              <w:rPr>
                <w:rFonts w:ascii="Arial" w:hAnsi="Arial" w:cs="Arial"/>
                <w:iCs/>
                <w:szCs w:val="28"/>
              </w:rPr>
              <w:t>pro</w:t>
            </w:r>
            <w:r>
              <w:rPr>
                <w:rFonts w:ascii="Arial" w:hAnsi="Arial" w:cs="Arial"/>
                <w:iCs/>
                <w:szCs w:val="28"/>
              </w:rPr>
              <w:t> </w:t>
            </w:r>
            <w:r w:rsidRPr="00BC6C07">
              <w:rPr>
                <w:rFonts w:ascii="Arial" w:hAnsi="Arial" w:cs="Arial"/>
                <w:iCs/>
                <w:szCs w:val="28"/>
              </w:rPr>
              <w:t>vzdělávání a lidské zdroje a následně</w:t>
            </w:r>
            <w:r>
              <w:rPr>
                <w:rFonts w:ascii="Arial" w:hAnsi="Arial" w:cs="Arial"/>
                <w:iCs/>
                <w:szCs w:val="28"/>
              </w:rPr>
              <w:t xml:space="preserve"> </w:t>
            </w:r>
            <w:r w:rsidRPr="00BC6C07">
              <w:rPr>
                <w:rFonts w:ascii="Arial" w:hAnsi="Arial" w:cs="Arial"/>
                <w:iCs/>
                <w:szCs w:val="28"/>
              </w:rPr>
              <w:t>předložit na</w:t>
            </w:r>
            <w:r>
              <w:rPr>
                <w:rFonts w:ascii="Arial" w:hAnsi="Arial" w:cs="Arial"/>
                <w:iCs/>
                <w:szCs w:val="28"/>
              </w:rPr>
              <w:t> </w:t>
            </w:r>
            <w:r w:rsidRPr="00BC6C07">
              <w:rPr>
                <w:rFonts w:ascii="Arial" w:hAnsi="Arial" w:cs="Arial"/>
                <w:iCs/>
                <w:szCs w:val="28"/>
              </w:rPr>
              <w:t>Plenární schůzi RHSD</w:t>
            </w:r>
            <w:r>
              <w:rPr>
                <w:rFonts w:ascii="Arial" w:hAnsi="Arial" w:cs="Arial"/>
                <w:iCs/>
                <w:szCs w:val="28"/>
              </w:rPr>
              <w:t xml:space="preserve"> </w:t>
            </w:r>
            <w:r w:rsidRPr="00BC6C07">
              <w:rPr>
                <w:rFonts w:ascii="Arial" w:hAnsi="Arial" w:cs="Arial"/>
                <w:iCs/>
                <w:szCs w:val="28"/>
              </w:rPr>
              <w:t>přehled plánovaných a</w:t>
            </w:r>
            <w:r>
              <w:rPr>
                <w:rFonts w:ascii="Arial" w:hAnsi="Arial" w:cs="Arial"/>
                <w:iCs/>
                <w:szCs w:val="28"/>
              </w:rPr>
              <w:t> </w:t>
            </w:r>
            <w:r w:rsidRPr="00BC6C07">
              <w:rPr>
                <w:rFonts w:ascii="Arial" w:hAnsi="Arial" w:cs="Arial"/>
                <w:iCs/>
                <w:szCs w:val="28"/>
              </w:rPr>
              <w:t>realizovaných opatření na</w:t>
            </w:r>
            <w:r>
              <w:rPr>
                <w:rFonts w:ascii="Arial" w:hAnsi="Arial" w:cs="Arial"/>
                <w:iCs/>
                <w:szCs w:val="28"/>
              </w:rPr>
              <w:t> </w:t>
            </w:r>
            <w:r w:rsidRPr="00BC6C07">
              <w:rPr>
                <w:rFonts w:ascii="Arial" w:hAnsi="Arial" w:cs="Arial"/>
                <w:iCs/>
                <w:szCs w:val="28"/>
              </w:rPr>
              <w:t>podporu středního odborného školství a oborů s</w:t>
            </w:r>
            <w:r>
              <w:rPr>
                <w:rFonts w:ascii="Arial" w:hAnsi="Arial" w:cs="Arial"/>
                <w:iCs/>
                <w:szCs w:val="28"/>
              </w:rPr>
              <w:t> </w:t>
            </w:r>
            <w:r w:rsidRPr="00BC6C07">
              <w:rPr>
                <w:rFonts w:ascii="Arial" w:hAnsi="Arial" w:cs="Arial"/>
                <w:iCs/>
                <w:szCs w:val="28"/>
              </w:rPr>
              <w:t>technickým či řemeslným zaměřením spolu s principy duálního vzdělávání včetně závěrů, termínů a odpovědností za realizaci.</w:t>
            </w:r>
            <w:r w:rsidRPr="00594B11">
              <w:rPr>
                <w:rFonts w:ascii="Arial" w:hAnsi="Arial" w:cs="Arial"/>
                <w:iCs/>
                <w:szCs w:val="28"/>
              </w:rPr>
              <w:t xml:space="preserve"> Uvedená opatření byla</w:t>
            </w:r>
            <w:r>
              <w:rPr>
                <w:rFonts w:ascii="Arial" w:hAnsi="Arial" w:cs="Arial"/>
                <w:iCs/>
                <w:szCs w:val="28"/>
              </w:rPr>
              <w:t xml:space="preserve"> ve čtyřech termínech</w:t>
            </w:r>
            <w:r w:rsidRPr="00594B11">
              <w:rPr>
                <w:rFonts w:ascii="Arial" w:hAnsi="Arial" w:cs="Arial"/>
                <w:iCs/>
                <w:szCs w:val="28"/>
              </w:rPr>
              <w:t xml:space="preserve"> projedná</w:t>
            </w:r>
            <w:r>
              <w:rPr>
                <w:rFonts w:ascii="Arial" w:hAnsi="Arial" w:cs="Arial"/>
                <w:iCs/>
                <w:szCs w:val="28"/>
              </w:rPr>
              <w:t>vá</w:t>
            </w:r>
            <w:r w:rsidRPr="00594B11">
              <w:rPr>
                <w:rFonts w:ascii="Arial" w:hAnsi="Arial" w:cs="Arial"/>
                <w:iCs/>
                <w:szCs w:val="28"/>
              </w:rPr>
              <w:t>na</w:t>
            </w:r>
            <w:r>
              <w:rPr>
                <w:rFonts w:ascii="Arial" w:hAnsi="Arial" w:cs="Arial"/>
                <w:iCs/>
                <w:szCs w:val="28"/>
              </w:rPr>
              <w:t xml:space="preserve">, průběžně představena Pracovnímu </w:t>
            </w:r>
            <w:proofErr w:type="gramStart"/>
            <w:r>
              <w:rPr>
                <w:rFonts w:ascii="Arial" w:hAnsi="Arial" w:cs="Arial"/>
                <w:iCs/>
                <w:szCs w:val="28"/>
              </w:rPr>
              <w:t xml:space="preserve">týmu </w:t>
            </w:r>
            <w:r w:rsidRPr="00BC6C07">
              <w:rPr>
                <w:rFonts w:ascii="Arial" w:hAnsi="Arial" w:cs="Arial"/>
                <w:iCs/>
                <w:szCs w:val="28"/>
              </w:rPr>
              <w:t xml:space="preserve"> RHSD</w:t>
            </w:r>
            <w:proofErr w:type="gramEnd"/>
            <w:r>
              <w:rPr>
                <w:rFonts w:ascii="Arial" w:hAnsi="Arial" w:cs="Arial"/>
                <w:iCs/>
                <w:szCs w:val="28"/>
              </w:rPr>
              <w:t xml:space="preserve"> </w:t>
            </w:r>
            <w:r w:rsidRPr="00BC6C07">
              <w:rPr>
                <w:rFonts w:ascii="Arial" w:hAnsi="Arial" w:cs="Arial"/>
                <w:iCs/>
                <w:szCs w:val="28"/>
              </w:rPr>
              <w:t>pro</w:t>
            </w:r>
            <w:r>
              <w:rPr>
                <w:rFonts w:ascii="Arial" w:hAnsi="Arial" w:cs="Arial"/>
                <w:iCs/>
                <w:szCs w:val="28"/>
              </w:rPr>
              <w:t> </w:t>
            </w:r>
            <w:r w:rsidRPr="00BC6C07">
              <w:rPr>
                <w:rFonts w:ascii="Arial" w:hAnsi="Arial" w:cs="Arial"/>
                <w:iCs/>
                <w:szCs w:val="28"/>
              </w:rPr>
              <w:t>vzdělávání a lidské zdroje</w:t>
            </w:r>
            <w:r>
              <w:rPr>
                <w:rFonts w:ascii="Arial" w:hAnsi="Arial" w:cs="Arial"/>
                <w:iCs/>
                <w:szCs w:val="28"/>
              </w:rPr>
              <w:t xml:space="preserve">, následně dopracován Společný návrh opatření k naplnění Strategie SPS. </w:t>
            </w:r>
            <w:r w:rsidRPr="00D12FF5">
              <w:rPr>
                <w:rFonts w:ascii="Arial" w:hAnsi="Arial" w:cs="Arial"/>
                <w:iCs/>
                <w:szCs w:val="28"/>
              </w:rPr>
              <w:t xml:space="preserve">Pracovní tým RHSD ČR pro vzdělávání a lidské zdroje projednal a </w:t>
            </w:r>
            <w:r>
              <w:rPr>
                <w:rFonts w:ascii="Arial" w:hAnsi="Arial" w:cs="Arial"/>
                <w:iCs/>
                <w:szCs w:val="28"/>
              </w:rPr>
              <w:t xml:space="preserve">vzal </w:t>
            </w:r>
            <w:r w:rsidRPr="00D12FF5">
              <w:rPr>
                <w:rFonts w:ascii="Arial" w:hAnsi="Arial" w:cs="Arial"/>
                <w:iCs/>
                <w:szCs w:val="28"/>
              </w:rPr>
              <w:t>na</w:t>
            </w:r>
            <w:r>
              <w:rPr>
                <w:rFonts w:ascii="Arial" w:hAnsi="Arial" w:cs="Arial"/>
                <w:iCs/>
                <w:szCs w:val="28"/>
              </w:rPr>
              <w:t> </w:t>
            </w:r>
            <w:r w:rsidRPr="00D12FF5">
              <w:rPr>
                <w:rFonts w:ascii="Arial" w:hAnsi="Arial" w:cs="Arial"/>
                <w:iCs/>
                <w:szCs w:val="28"/>
              </w:rPr>
              <w:t>vědomí podkladový materiál Spolupráce Svazu podnikatelů ve stavebnictví, Svazu učňovských zařízení, Ministerstva školství, mládeže a</w:t>
            </w:r>
            <w:r>
              <w:rPr>
                <w:rFonts w:ascii="Arial" w:hAnsi="Arial" w:cs="Arial"/>
                <w:iCs/>
                <w:szCs w:val="28"/>
              </w:rPr>
              <w:t> </w:t>
            </w:r>
            <w:r w:rsidRPr="00D12FF5">
              <w:rPr>
                <w:rFonts w:ascii="Arial" w:hAnsi="Arial" w:cs="Arial"/>
                <w:iCs/>
                <w:szCs w:val="28"/>
              </w:rPr>
              <w:t>tělovýchovy a Národního pedagogického institutu na</w:t>
            </w:r>
            <w:r>
              <w:rPr>
                <w:rFonts w:ascii="Arial" w:hAnsi="Arial" w:cs="Arial"/>
                <w:iCs/>
                <w:szCs w:val="28"/>
              </w:rPr>
              <w:t> </w:t>
            </w:r>
            <w:r w:rsidRPr="00D12FF5">
              <w:rPr>
                <w:rFonts w:ascii="Arial" w:hAnsi="Arial" w:cs="Arial"/>
                <w:iCs/>
                <w:szCs w:val="28"/>
              </w:rPr>
              <w:t>vzdělávání žáků ve stavebních oborech v</w:t>
            </w:r>
            <w:r>
              <w:rPr>
                <w:rFonts w:ascii="Arial" w:hAnsi="Arial" w:cs="Arial"/>
                <w:iCs/>
                <w:szCs w:val="28"/>
              </w:rPr>
              <w:t>zdělání (dále jen „Materiál“) a uložil a </w:t>
            </w:r>
            <w:r w:rsidRPr="00D12FF5">
              <w:rPr>
                <w:rFonts w:ascii="Arial" w:hAnsi="Arial" w:cs="Arial"/>
                <w:iCs/>
                <w:szCs w:val="28"/>
              </w:rPr>
              <w:t>doporuč</w:t>
            </w:r>
            <w:r>
              <w:rPr>
                <w:rFonts w:ascii="Arial" w:hAnsi="Arial" w:cs="Arial"/>
                <w:iCs/>
                <w:szCs w:val="28"/>
              </w:rPr>
              <w:t>il</w:t>
            </w:r>
            <w:r w:rsidRPr="00D12FF5">
              <w:rPr>
                <w:rFonts w:ascii="Arial" w:hAnsi="Arial" w:cs="Arial"/>
                <w:iCs/>
                <w:szCs w:val="28"/>
              </w:rPr>
              <w:t xml:space="preserve"> MŠMT:</w:t>
            </w:r>
          </w:p>
          <w:p w14:paraId="07080B71" w14:textId="77777777" w:rsidR="00E23650" w:rsidRPr="00D12FF5" w:rsidRDefault="00E23650" w:rsidP="00E23650">
            <w:pPr>
              <w:pStyle w:val="Odstavecseseznamem"/>
              <w:numPr>
                <w:ilvl w:val="0"/>
                <w:numId w:val="18"/>
              </w:numPr>
              <w:spacing w:after="60"/>
              <w:jc w:val="both"/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</w:pPr>
            <w:r w:rsidRPr="00D12FF5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Předložit Materiál Plenární schůzi Rady hospodářské a</w:t>
            </w:r>
            <w:r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 sociální dohody ČR</w:t>
            </w:r>
          </w:p>
          <w:p w14:paraId="5AAB9E27" w14:textId="77777777" w:rsidR="00E23650" w:rsidRPr="00D12FF5" w:rsidRDefault="00E23650" w:rsidP="00E23650">
            <w:pPr>
              <w:pStyle w:val="Odstavecseseznamem"/>
              <w:numPr>
                <w:ilvl w:val="0"/>
                <w:numId w:val="18"/>
              </w:numPr>
              <w:spacing w:after="60"/>
              <w:jc w:val="both"/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</w:pPr>
            <w:r w:rsidRPr="00D12FF5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 xml:space="preserve">Využít Materiál pro spolupráci a podporu odborného </w:t>
            </w:r>
            <w:r w:rsidRPr="00D12FF5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lastRenderedPageBreak/>
              <w:t>vzdělávání do dalších sektorů podle oborových shluků v</w:t>
            </w:r>
            <w:r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 </w:t>
            </w:r>
            <w:r w:rsidRPr="00D12FF5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soustavě oborů vzdělání v základním, středním a vyšším odborném vzdělávání, k</w:t>
            </w:r>
            <w:r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 </w:t>
            </w:r>
            <w:r w:rsidRPr="00D12FF5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naplnění programového prohlášení vlády na podporu odborného vzdělání a</w:t>
            </w:r>
            <w:r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 </w:t>
            </w:r>
            <w:r w:rsidRPr="00D12FF5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k</w:t>
            </w:r>
            <w:r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 </w:t>
            </w:r>
            <w:r w:rsidRPr="00D12FF5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naplnění Strategie 2030+ a implementační karty Inovace oborové soustavy (termín: průběžně).</w:t>
            </w:r>
          </w:p>
          <w:p w14:paraId="04DF2F8A" w14:textId="77777777" w:rsidR="00E23650" w:rsidRPr="00D12FF5" w:rsidRDefault="00E23650" w:rsidP="0038142A">
            <w:pPr>
              <w:spacing w:after="60" w:line="276" w:lineRule="auto"/>
              <w:ind w:firstLine="708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D12FF5">
              <w:rPr>
                <w:rFonts w:ascii="Arial" w:hAnsi="Arial" w:cs="Arial"/>
                <w:iCs/>
                <w:sz w:val="20"/>
                <w:szCs w:val="20"/>
              </w:rPr>
              <w:t>Usnesení bylo přijato</w:t>
            </w:r>
            <w:r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14:paraId="012F6DCB" w14:textId="77777777" w:rsidR="00E23650" w:rsidRPr="00595550" w:rsidRDefault="00E23650" w:rsidP="0038142A">
            <w:pPr>
              <w:jc w:val="both"/>
              <w:rPr>
                <w:rFonts w:ascii="Arial" w:hAnsi="Arial" w:cs="Arial"/>
                <w:b/>
                <w:iCs/>
                <w:szCs w:val="28"/>
              </w:rPr>
            </w:pPr>
            <w:r w:rsidRPr="00595550">
              <w:rPr>
                <w:rFonts w:ascii="Arial" w:hAnsi="Arial" w:cs="Arial"/>
                <w:b/>
                <w:iCs/>
                <w:szCs w:val="28"/>
              </w:rPr>
              <w:t>Společný návrh opatření k naplnění Strategie SPS dále směřuje k realizaci komplexní Strategie rozvoje středního odborného vzdělávání. Jedním z projednaných požadavků je promítnutí doporučení sociálních partnerů, resp. Opatření k naplnění strategie SPS, do Dlouhodobého záměru vzdělávání a rozvoje vzdělávací soustavy ČR 2023-2027.</w:t>
            </w:r>
          </w:p>
          <w:p w14:paraId="1393C21E" w14:textId="77777777" w:rsidR="00E23650" w:rsidRPr="00FF769B" w:rsidRDefault="00E23650" w:rsidP="0038142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Cs/>
                <w:szCs w:val="28"/>
              </w:rPr>
              <w:t>Zasedání 172. Plenární schůze Rady hospodářské a sociální dohody ČR, konané dne</w:t>
            </w:r>
            <w:r w:rsidRPr="00594B11">
              <w:rPr>
                <w:rFonts w:ascii="Arial" w:hAnsi="Arial" w:cs="Arial"/>
                <w:iCs/>
                <w:szCs w:val="28"/>
              </w:rPr>
              <w:t xml:space="preserve"> 25.</w:t>
            </w:r>
            <w:r>
              <w:rPr>
                <w:rFonts w:ascii="Arial" w:hAnsi="Arial" w:cs="Arial"/>
                <w:iCs/>
                <w:szCs w:val="28"/>
              </w:rPr>
              <w:t> </w:t>
            </w:r>
            <w:r w:rsidRPr="00594B11">
              <w:rPr>
                <w:rFonts w:ascii="Arial" w:hAnsi="Arial" w:cs="Arial"/>
                <w:iCs/>
                <w:szCs w:val="28"/>
              </w:rPr>
              <w:t>9.</w:t>
            </w:r>
            <w:r>
              <w:rPr>
                <w:rFonts w:ascii="Arial" w:hAnsi="Arial" w:cs="Arial"/>
                <w:iCs/>
                <w:szCs w:val="28"/>
              </w:rPr>
              <w:t> </w:t>
            </w:r>
            <w:r w:rsidRPr="00594B11">
              <w:rPr>
                <w:rFonts w:ascii="Arial" w:hAnsi="Arial" w:cs="Arial"/>
                <w:iCs/>
                <w:szCs w:val="28"/>
              </w:rPr>
              <w:t>2023</w:t>
            </w:r>
            <w:r>
              <w:rPr>
                <w:rFonts w:ascii="Arial" w:hAnsi="Arial" w:cs="Arial"/>
                <w:iCs/>
                <w:szCs w:val="28"/>
              </w:rPr>
              <w:t xml:space="preserve"> na Úřadu vlády vzalo předložený materiál na vědomí</w:t>
            </w:r>
            <w:r w:rsidRPr="00594B11">
              <w:rPr>
                <w:rFonts w:ascii="Arial" w:hAnsi="Arial" w:cs="Arial"/>
                <w:iCs/>
                <w:szCs w:val="28"/>
              </w:rPr>
              <w:t>.</w:t>
            </w:r>
            <w:r>
              <w:rPr>
                <w:szCs w:val="28"/>
              </w:rPr>
              <w:t xml:space="preserve">  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8AA350" w14:textId="77777777" w:rsidR="00E23650" w:rsidRPr="00560291" w:rsidRDefault="00E23650" w:rsidP="003814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E23650" w:rsidRPr="00560291" w14:paraId="72B09565" w14:textId="77777777" w:rsidTr="0038142A">
        <w:trPr>
          <w:trHeight w:val="337"/>
        </w:trPr>
        <w:tc>
          <w:tcPr>
            <w:tcW w:w="782" w:type="pct"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90" w:type="dxa"/>
            </w:tcMar>
          </w:tcPr>
          <w:p w14:paraId="5809F3A0" w14:textId="77777777" w:rsidR="00E23650" w:rsidRPr="00EB7A77" w:rsidRDefault="00E23650" w:rsidP="0038142A">
            <w:pPr>
              <w:jc w:val="both"/>
              <w:rPr>
                <w:rFonts w:ascii="Arial" w:hAnsi="Arial" w:cs="Arial"/>
                <w:b/>
                <w:color w:val="C45911"/>
              </w:rPr>
            </w:pPr>
            <w:r w:rsidRPr="00EB7A77">
              <w:rPr>
                <w:rFonts w:ascii="Arial" w:hAnsi="Arial" w:cs="Arial"/>
                <w:b/>
                <w:color w:val="C45911"/>
              </w:rPr>
              <w:lastRenderedPageBreak/>
              <w:t xml:space="preserve">SPS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90" w:type="dxa"/>
            </w:tcMar>
          </w:tcPr>
          <w:p w14:paraId="10D42F29" w14:textId="77777777" w:rsidR="00E23650" w:rsidRPr="00EB7A77" w:rsidRDefault="00E23650" w:rsidP="003814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C45911"/>
                <w:shd w:val="clear" w:color="auto" w:fill="FFFFFF"/>
              </w:rPr>
            </w:pPr>
            <w:r w:rsidRPr="00EB7A77">
              <w:rPr>
                <w:rFonts w:ascii="Arial" w:hAnsi="Arial" w:cs="Arial"/>
                <w:b/>
                <w:color w:val="C45911"/>
              </w:rPr>
              <w:t>5 – PŘEHLED VŠECH OPATŘENÍ A KLÍČOVÝCH AKTIVIT</w:t>
            </w:r>
            <w:r w:rsidRPr="00EB7A77">
              <w:rPr>
                <w:rFonts w:ascii="Calibri" w:hAnsi="Calibri" w:cs="Calibri"/>
                <w:color w:val="C45911"/>
                <w:shd w:val="clear" w:color="auto" w:fill="FFFFFF"/>
              </w:rPr>
              <w:t xml:space="preserve"> </w:t>
            </w:r>
          </w:p>
          <w:p w14:paraId="3721F496" w14:textId="77777777" w:rsidR="00E23650" w:rsidRPr="00EB7A77" w:rsidRDefault="00E23650" w:rsidP="003814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C45911"/>
              </w:rPr>
            </w:pPr>
            <w:r w:rsidRPr="00EB7A77">
              <w:rPr>
                <w:rFonts w:ascii="Arial" w:hAnsi="Arial" w:cs="Arial"/>
                <w:color w:val="C45911"/>
              </w:rPr>
              <w:t>(str. 130</w:t>
            </w:r>
            <w:r>
              <w:rPr>
                <w:rFonts w:ascii="Arial" w:hAnsi="Arial" w:cs="Arial"/>
                <w:color w:val="C45911"/>
              </w:rPr>
              <w:t xml:space="preserve"> až 147</w:t>
            </w:r>
            <w:r w:rsidRPr="00EB7A77">
              <w:rPr>
                <w:rFonts w:ascii="Arial" w:hAnsi="Arial" w:cs="Arial"/>
                <w:color w:val="C45911"/>
              </w:rPr>
              <w:t>)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90" w:type="dxa"/>
            </w:tcMar>
          </w:tcPr>
          <w:p w14:paraId="2CB0FD47" w14:textId="77777777" w:rsidR="00E23650" w:rsidRPr="00560291" w:rsidRDefault="00E23650" w:rsidP="003814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0817A3">
              <w:rPr>
                <w:rFonts w:ascii="Arial" w:hAnsi="Arial" w:cs="Arial"/>
                <w:iCs/>
                <w:szCs w:val="28"/>
              </w:rPr>
              <w:t>Do přehledu všech opatření a klíčových aktivit požadujeme doplnit výše navrhovaná opatření a</w:t>
            </w:r>
            <w:r>
              <w:rPr>
                <w:rFonts w:ascii="Arial" w:hAnsi="Arial" w:cs="Arial"/>
                <w:iCs/>
                <w:szCs w:val="28"/>
              </w:rPr>
              <w:t> </w:t>
            </w:r>
            <w:r w:rsidRPr="000817A3">
              <w:rPr>
                <w:rFonts w:ascii="Arial" w:hAnsi="Arial" w:cs="Arial"/>
                <w:iCs/>
                <w:szCs w:val="28"/>
              </w:rPr>
              <w:t>klíčové aktivity.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F15E05" w14:textId="77777777" w:rsidR="00E23650" w:rsidRPr="00560291" w:rsidRDefault="00E23650" w:rsidP="003814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14:paraId="3350C599" w14:textId="77777777" w:rsidR="00E23650" w:rsidRPr="00B4246B" w:rsidRDefault="00E23650" w:rsidP="00E23650">
      <w:pPr>
        <w:jc w:val="both"/>
        <w:rPr>
          <w:rFonts w:ascii="Arial" w:hAnsi="Arial" w:cs="Arial"/>
        </w:rPr>
      </w:pPr>
    </w:p>
    <w:p w14:paraId="3CB94757" w14:textId="77777777" w:rsidR="00E23650" w:rsidRDefault="00E23650" w:rsidP="00E23650">
      <w:pPr>
        <w:tabs>
          <w:tab w:val="left" w:pos="6158"/>
        </w:tabs>
        <w:rPr>
          <w:rFonts w:ascii="Arial" w:hAnsi="Arial" w:cs="Arial"/>
        </w:rPr>
      </w:pPr>
      <w:r>
        <w:rPr>
          <w:rFonts w:ascii="Arial" w:hAnsi="Arial" w:cs="Arial"/>
        </w:rPr>
        <w:t>V Praze dne 23.10.2023                                                                                                                                                Ing. Jiří Nouza                                                                                                                                                    prezident SPS</w:t>
      </w:r>
    </w:p>
    <w:p w14:paraId="2AF29665" w14:textId="77777777" w:rsidR="00E23650" w:rsidRDefault="00E23650" w:rsidP="00E23650">
      <w:pPr>
        <w:tabs>
          <w:tab w:val="left" w:pos="615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Zpracovali:</w:t>
      </w:r>
    </w:p>
    <w:p w14:paraId="53ECE77A" w14:textId="121FA269" w:rsidR="00E23650" w:rsidRPr="00AC593F" w:rsidRDefault="00E23650" w:rsidP="00AC593F">
      <w:pPr>
        <w:tabs>
          <w:tab w:val="left" w:pos="615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Ing. Drahoslav Matonoha, Ing. Pavel Jíška, Ing. Jiří Košťál, Ing. Jiří Homolka, </w:t>
      </w:r>
      <w:r>
        <w:rPr>
          <w:rFonts w:ascii="Arial" w:hAnsi="Arial" w:cs="Arial"/>
        </w:rPr>
        <w:br/>
        <w:t xml:space="preserve">Ing. arch. Vladimír Woth, Ing. Pavel Ševčík, </w:t>
      </w:r>
      <w:proofErr w:type="gramStart"/>
      <w:r>
        <w:rPr>
          <w:rFonts w:ascii="Arial" w:hAnsi="Arial" w:cs="Arial"/>
        </w:rPr>
        <w:t>Ph.D</w:t>
      </w:r>
      <w:proofErr w:type="gramEnd"/>
    </w:p>
    <w:p w14:paraId="427922BD" w14:textId="77777777" w:rsidR="00E23650" w:rsidRPr="00AB6DAD" w:rsidRDefault="00E23650" w:rsidP="00E23650"/>
    <w:p w14:paraId="3C368A52" w14:textId="77777777" w:rsidR="00E23650" w:rsidRDefault="00E23650" w:rsidP="00E23650"/>
    <w:p w14:paraId="36F2495C" w14:textId="77777777" w:rsidR="00BA2DF6" w:rsidRDefault="00BA2DF6" w:rsidP="00A90AE3"/>
    <w:p w14:paraId="45B4F01C" w14:textId="77777777" w:rsidR="00F86123" w:rsidRDefault="00F86123" w:rsidP="00A90AE3"/>
    <w:p w14:paraId="57A33822" w14:textId="77777777" w:rsidR="00F86123" w:rsidRDefault="00F86123" w:rsidP="00A90AE3"/>
    <w:p w14:paraId="7B0771F8" w14:textId="496C37BD" w:rsidR="00C852B4" w:rsidRDefault="00A90AE3" w:rsidP="00A90AE3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br w:type="page"/>
      </w:r>
    </w:p>
    <w:sectPr w:rsidR="00C852B4" w:rsidSect="004626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7E56E" w14:textId="77777777" w:rsidR="00B049E7" w:rsidRDefault="00B049E7" w:rsidP="00064C09">
      <w:r>
        <w:separator/>
      </w:r>
    </w:p>
  </w:endnote>
  <w:endnote w:type="continuationSeparator" w:id="0">
    <w:p w14:paraId="3E137224" w14:textId="77777777" w:rsidR="00B049E7" w:rsidRDefault="00B049E7" w:rsidP="00064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8A9DD" w14:textId="77777777" w:rsidR="00D72DDA" w:rsidRDefault="00D72DD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994"/>
      <w:gridCol w:w="2975"/>
      <w:gridCol w:w="3103"/>
    </w:tblGrid>
    <w:tr w:rsidR="00D72DDA" w:rsidRPr="00305BFD" w14:paraId="414CA0A3" w14:textId="77777777" w:rsidTr="00231CD5">
      <w:trPr>
        <w:trHeight w:val="696"/>
      </w:trPr>
      <w:tc>
        <w:tcPr>
          <w:tcW w:w="4640" w:type="dxa"/>
        </w:tcPr>
        <w:p w14:paraId="2511160A" w14:textId="77777777" w:rsidR="00D72DDA" w:rsidRPr="008D5270" w:rsidRDefault="00D72DDA" w:rsidP="00231CD5">
          <w:pPr>
            <w:pStyle w:val="Zhlav"/>
            <w:rPr>
              <w:rFonts w:ascii="Arial" w:hAnsi="Arial" w:cs="Arial"/>
              <w:sz w:val="16"/>
              <w:szCs w:val="16"/>
            </w:rPr>
          </w:pPr>
        </w:p>
        <w:p w14:paraId="1B873755" w14:textId="2DA538A9" w:rsidR="00D72DDA" w:rsidRPr="008D5270" w:rsidRDefault="00D72DDA" w:rsidP="00231CD5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8D5270">
            <w:rPr>
              <w:rFonts w:ascii="Arial" w:hAnsi="Arial" w:cs="Arial"/>
              <w:sz w:val="16"/>
              <w:szCs w:val="16"/>
            </w:rPr>
            <w:t xml:space="preserve">Na Pankráci </w:t>
          </w:r>
          <w:r>
            <w:rPr>
              <w:rFonts w:ascii="Arial" w:hAnsi="Arial" w:cs="Arial"/>
              <w:sz w:val="16"/>
              <w:szCs w:val="16"/>
            </w:rPr>
            <w:t>322/26</w:t>
          </w:r>
        </w:p>
        <w:p w14:paraId="2D62661C" w14:textId="77777777" w:rsidR="00D72DDA" w:rsidRPr="008D5270" w:rsidRDefault="00D72DDA" w:rsidP="00231CD5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8D5270">
            <w:rPr>
              <w:rFonts w:ascii="Arial" w:hAnsi="Arial" w:cs="Arial"/>
              <w:sz w:val="16"/>
              <w:szCs w:val="16"/>
            </w:rPr>
            <w:t>140 00 Praha 4</w:t>
          </w:r>
        </w:p>
        <w:p w14:paraId="32F41CC9" w14:textId="77777777" w:rsidR="00D72DDA" w:rsidRPr="008D5270" w:rsidRDefault="00D72DDA" w:rsidP="00231CD5">
          <w:pPr>
            <w:pStyle w:val="Zpat"/>
            <w:rPr>
              <w:rFonts w:ascii="Arial" w:hAnsi="Arial" w:cs="Arial"/>
            </w:rPr>
          </w:pPr>
        </w:p>
      </w:tc>
      <w:tc>
        <w:tcPr>
          <w:tcW w:w="4642" w:type="dxa"/>
        </w:tcPr>
        <w:p w14:paraId="5A0111FA" w14:textId="77777777" w:rsidR="00D72DDA" w:rsidRPr="008D5270" w:rsidRDefault="00D72DDA" w:rsidP="00231CD5">
          <w:pPr>
            <w:pStyle w:val="Zpat"/>
            <w:jc w:val="center"/>
            <w:rPr>
              <w:rFonts w:ascii="Arial" w:hAnsi="Arial" w:cs="Arial"/>
              <w:sz w:val="16"/>
              <w:szCs w:val="16"/>
            </w:rPr>
          </w:pPr>
        </w:p>
        <w:p w14:paraId="761B7E2E" w14:textId="77777777" w:rsidR="00D72DDA" w:rsidRPr="008D5270" w:rsidRDefault="00D72DDA" w:rsidP="00231CD5">
          <w:pPr>
            <w:pStyle w:val="Zpat"/>
            <w:jc w:val="center"/>
            <w:rPr>
              <w:rFonts w:ascii="Arial" w:hAnsi="Arial" w:cs="Arial"/>
              <w:sz w:val="16"/>
              <w:szCs w:val="16"/>
            </w:rPr>
          </w:pPr>
          <w:r w:rsidRPr="008D5270">
            <w:rPr>
              <w:rFonts w:ascii="Arial" w:hAnsi="Arial" w:cs="Arial"/>
              <w:sz w:val="16"/>
              <w:szCs w:val="16"/>
            </w:rPr>
            <w:t>tel.: 234 633 210</w:t>
          </w:r>
        </w:p>
        <w:p w14:paraId="17C4AD2A" w14:textId="77777777" w:rsidR="00D72DDA" w:rsidRPr="008D5270" w:rsidRDefault="00D72DDA" w:rsidP="00231CD5">
          <w:pPr>
            <w:pStyle w:val="Zpat"/>
            <w:jc w:val="center"/>
            <w:rPr>
              <w:rFonts w:ascii="Arial" w:hAnsi="Arial" w:cs="Arial"/>
            </w:rPr>
          </w:pPr>
        </w:p>
      </w:tc>
      <w:tc>
        <w:tcPr>
          <w:tcW w:w="4642" w:type="dxa"/>
        </w:tcPr>
        <w:p w14:paraId="6F33E0DF" w14:textId="77777777" w:rsidR="00D72DDA" w:rsidRPr="008D5270" w:rsidRDefault="00D72DDA" w:rsidP="00231CD5">
          <w:pPr>
            <w:pStyle w:val="Zhlav"/>
            <w:jc w:val="right"/>
            <w:rPr>
              <w:rFonts w:ascii="Arial" w:hAnsi="Arial" w:cs="Arial"/>
              <w:sz w:val="16"/>
              <w:szCs w:val="16"/>
            </w:rPr>
          </w:pPr>
        </w:p>
        <w:p w14:paraId="3446C931" w14:textId="77777777" w:rsidR="00D72DDA" w:rsidRPr="008D5270" w:rsidRDefault="00D72DDA" w:rsidP="00231CD5">
          <w:pPr>
            <w:pStyle w:val="Zhlav"/>
            <w:jc w:val="right"/>
            <w:rPr>
              <w:rFonts w:ascii="Arial" w:hAnsi="Arial" w:cs="Arial"/>
              <w:sz w:val="16"/>
              <w:szCs w:val="16"/>
            </w:rPr>
          </w:pPr>
          <w:r w:rsidRPr="008D5270">
            <w:rPr>
              <w:rFonts w:ascii="Arial" w:hAnsi="Arial" w:cs="Arial"/>
              <w:sz w:val="16"/>
              <w:szCs w:val="16"/>
            </w:rPr>
            <w:t>e-mail: info@uzs.cz</w:t>
          </w:r>
        </w:p>
        <w:p w14:paraId="1AA13226" w14:textId="77777777" w:rsidR="00D72DDA" w:rsidRPr="008D5270" w:rsidRDefault="00D72DDA" w:rsidP="00231CD5">
          <w:pPr>
            <w:pStyle w:val="Zhlav"/>
            <w:jc w:val="right"/>
            <w:rPr>
              <w:rFonts w:ascii="Arial" w:hAnsi="Arial" w:cs="Arial"/>
              <w:sz w:val="16"/>
              <w:szCs w:val="16"/>
            </w:rPr>
          </w:pPr>
          <w:r w:rsidRPr="008D5270">
            <w:rPr>
              <w:rFonts w:ascii="Arial" w:hAnsi="Arial" w:cs="Arial"/>
              <w:sz w:val="16"/>
              <w:szCs w:val="16"/>
            </w:rPr>
            <w:t>www.uzs.cz</w:t>
          </w:r>
        </w:p>
        <w:p w14:paraId="350D8B03" w14:textId="77777777" w:rsidR="00D72DDA" w:rsidRPr="008D5270" w:rsidRDefault="00D72DDA" w:rsidP="00231CD5">
          <w:pPr>
            <w:pStyle w:val="Zhlav"/>
            <w:jc w:val="right"/>
            <w:rPr>
              <w:rFonts w:ascii="Arial" w:hAnsi="Arial" w:cs="Arial"/>
            </w:rPr>
          </w:pPr>
          <w:r w:rsidRPr="008D5270">
            <w:rPr>
              <w:rFonts w:ascii="Arial" w:hAnsi="Arial" w:cs="Arial"/>
              <w:sz w:val="16"/>
              <w:szCs w:val="16"/>
            </w:rPr>
            <w:t>IČ 22718729</w:t>
          </w:r>
        </w:p>
        <w:p w14:paraId="639AB633" w14:textId="77777777" w:rsidR="00D72DDA" w:rsidRPr="008D5270" w:rsidRDefault="00D72DDA" w:rsidP="00231CD5">
          <w:pPr>
            <w:pStyle w:val="Zpat"/>
            <w:rPr>
              <w:rFonts w:ascii="Arial" w:hAnsi="Arial" w:cs="Arial"/>
            </w:rPr>
          </w:pPr>
        </w:p>
      </w:tc>
    </w:tr>
  </w:tbl>
  <w:p w14:paraId="33BB6C73" w14:textId="77777777" w:rsidR="00D72DDA" w:rsidRDefault="00D72DDA" w:rsidP="00362FA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05BD8" w14:textId="77777777" w:rsidR="00D72DDA" w:rsidRDefault="00D72D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9EA41" w14:textId="77777777" w:rsidR="00B049E7" w:rsidRDefault="00B049E7" w:rsidP="00064C09">
      <w:r>
        <w:separator/>
      </w:r>
    </w:p>
  </w:footnote>
  <w:footnote w:type="continuationSeparator" w:id="0">
    <w:p w14:paraId="501057DF" w14:textId="77777777" w:rsidR="00B049E7" w:rsidRDefault="00B049E7" w:rsidP="00064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EDB7" w14:textId="4B079DBC" w:rsidR="00D72DDA" w:rsidRDefault="00AC593F">
    <w:pPr>
      <w:pStyle w:val="Zhlav"/>
    </w:pPr>
    <w:r>
      <w:rPr>
        <w:noProof/>
      </w:rPr>
      <w:pict w14:anchorId="5D7AFA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" style="position:absolute;margin-left:0;margin-top:0;width:559.55pt;height:79.9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black [3213]" stroked="f">
          <v:textpath style="font-family:&quot;Times New Roman&quot;;font-size:1pt" string="VERZE K VET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3EB81" w14:textId="7E3B2383" w:rsidR="00D72DDA" w:rsidRDefault="00D72DDA" w:rsidP="005C2A77">
    <w:pPr>
      <w:pStyle w:val="Zhlav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759BD79" wp14:editId="00EFBB4E">
          <wp:simplePos x="0" y="0"/>
          <wp:positionH relativeFrom="column">
            <wp:posOffset>-247650</wp:posOffset>
          </wp:positionH>
          <wp:positionV relativeFrom="paragraph">
            <wp:posOffset>-8890</wp:posOffset>
          </wp:positionV>
          <wp:extent cx="1551940" cy="959485"/>
          <wp:effectExtent l="19050" t="0" r="0" b="0"/>
          <wp:wrapNone/>
          <wp:docPr id="1" name="obrázek 2" descr="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959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EBEB8A3" w14:textId="77777777" w:rsidR="00D72DDA" w:rsidRDefault="00D72DDA" w:rsidP="005C2A77">
    <w:pPr>
      <w:pStyle w:val="Zhlav"/>
      <w:jc w:val="right"/>
    </w:pPr>
    <w:r>
      <w:tab/>
    </w:r>
  </w:p>
  <w:p w14:paraId="65BE19F5" w14:textId="77777777" w:rsidR="00D72DDA" w:rsidRDefault="00D72DDA" w:rsidP="005C2A77">
    <w:pPr>
      <w:pStyle w:val="Zhlav"/>
      <w:jc w:val="right"/>
      <w:rPr>
        <w:color w:val="808080"/>
      </w:rPr>
    </w:pPr>
  </w:p>
  <w:p w14:paraId="48F6B68D" w14:textId="77777777" w:rsidR="00D72DDA" w:rsidRDefault="00D72DDA" w:rsidP="005C2A77">
    <w:pPr>
      <w:pStyle w:val="Zhlav"/>
      <w:jc w:val="right"/>
      <w:rPr>
        <w:color w:val="808080"/>
      </w:rPr>
    </w:pPr>
  </w:p>
  <w:p w14:paraId="3BC6244D" w14:textId="77777777" w:rsidR="00D72DDA" w:rsidRDefault="00D72DD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872C4" w14:textId="26CABED4" w:rsidR="00D72DDA" w:rsidRDefault="00D72D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2315"/>
    <w:multiLevelType w:val="hybridMultilevel"/>
    <w:tmpl w:val="0F2C8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77362"/>
    <w:multiLevelType w:val="hybridMultilevel"/>
    <w:tmpl w:val="AED6F46E"/>
    <w:lvl w:ilvl="0" w:tplc="BC5EF2A8">
      <w:start w:val="1"/>
      <w:numFmt w:val="bullet"/>
      <w:pStyle w:val="OdrkyEQerven"/>
      <w:lvlText w:val=""/>
      <w:lvlJc w:val="left"/>
      <w:pPr>
        <w:ind w:left="574" w:hanging="360"/>
      </w:pPr>
      <w:rPr>
        <w:rFonts w:ascii="Wingdings" w:hAnsi="Wingdings" w:hint="default"/>
        <w:color w:val="auto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F6956"/>
    <w:multiLevelType w:val="multilevel"/>
    <w:tmpl w:val="B7885C32"/>
    <w:lvl w:ilvl="0">
      <w:start w:val="1"/>
      <w:numFmt w:val="decimal"/>
      <w:lvlText w:val="%1."/>
      <w:lvlJc w:val="left"/>
      <w:pPr>
        <w:ind w:left="232" w:hanging="232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32" w:hanging="232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832" w:hanging="232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632" w:hanging="232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432" w:hanging="232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4232" w:hanging="232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32" w:hanging="232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832" w:hanging="232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632" w:hanging="232"/>
      </w:pPr>
      <w:rPr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1C9B0ACB"/>
    <w:multiLevelType w:val="hybridMultilevel"/>
    <w:tmpl w:val="60842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804A8"/>
    <w:multiLevelType w:val="hybridMultilevel"/>
    <w:tmpl w:val="C66A708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D4823"/>
    <w:multiLevelType w:val="hybridMultilevel"/>
    <w:tmpl w:val="AAC4BCD4"/>
    <w:lvl w:ilvl="0" w:tplc="34761E4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31F07"/>
    <w:multiLevelType w:val="hybridMultilevel"/>
    <w:tmpl w:val="11204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16846"/>
    <w:multiLevelType w:val="hybridMultilevel"/>
    <w:tmpl w:val="D6E229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E613B"/>
    <w:multiLevelType w:val="hybridMultilevel"/>
    <w:tmpl w:val="E11C913A"/>
    <w:lvl w:ilvl="0" w:tplc="1F88187A">
      <w:start w:val="1"/>
      <w:numFmt w:val="bullet"/>
      <w:pStyle w:val="TNSBulletlevel1"/>
      <w:lvlText w:val="n"/>
      <w:lvlJc w:val="left"/>
      <w:pPr>
        <w:ind w:left="1919" w:hanging="360"/>
      </w:pPr>
      <w:rPr>
        <w:rFonts w:ascii="Wingdings" w:hAnsi="Wingdings" w:hint="default"/>
      </w:rPr>
    </w:lvl>
    <w:lvl w:ilvl="1" w:tplc="70CCB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676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6AEC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F607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B2D5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8468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24A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689A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B729F"/>
    <w:multiLevelType w:val="hybridMultilevel"/>
    <w:tmpl w:val="D7F2090E"/>
    <w:lvl w:ilvl="0" w:tplc="269EF7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439AD"/>
    <w:multiLevelType w:val="hybridMultilevel"/>
    <w:tmpl w:val="11BA66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726DC"/>
    <w:multiLevelType w:val="hybridMultilevel"/>
    <w:tmpl w:val="F1B8B330"/>
    <w:lvl w:ilvl="0" w:tplc="9A8C705E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AAF1A1F"/>
    <w:multiLevelType w:val="multilevel"/>
    <w:tmpl w:val="1146FEC4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numFmt w:val="bullet"/>
      <w:pStyle w:val="Textbodu"/>
      <w:lvlText w:val="-"/>
      <w:lvlJc w:val="left"/>
      <w:pPr>
        <w:tabs>
          <w:tab w:val="num" w:pos="851"/>
        </w:tabs>
        <w:ind w:left="851" w:hanging="426"/>
      </w:pPr>
      <w:rPr>
        <w:rFonts w:ascii="Calibri" w:eastAsiaTheme="minorHAnsi" w:hAnsi="Calibri" w:cstheme="minorBidi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13" w15:restartNumberingAfterBreak="0">
    <w:nsid w:val="6D9117F1"/>
    <w:multiLevelType w:val="hybridMultilevel"/>
    <w:tmpl w:val="CA2445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1D48CC"/>
    <w:multiLevelType w:val="hybridMultilevel"/>
    <w:tmpl w:val="CA2445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46634"/>
    <w:multiLevelType w:val="hybridMultilevel"/>
    <w:tmpl w:val="AA18FB3C"/>
    <w:lvl w:ilvl="0" w:tplc="BF8864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E5751"/>
    <w:multiLevelType w:val="hybridMultilevel"/>
    <w:tmpl w:val="D37A6B2A"/>
    <w:lvl w:ilvl="0" w:tplc="A754F6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161D31"/>
    <w:multiLevelType w:val="hybridMultilevel"/>
    <w:tmpl w:val="805CAA4A"/>
    <w:lvl w:ilvl="0" w:tplc="403C9E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175945">
    <w:abstractNumId w:val="1"/>
  </w:num>
  <w:num w:numId="2" w16cid:durableId="611204487">
    <w:abstractNumId w:val="8"/>
  </w:num>
  <w:num w:numId="3" w16cid:durableId="335350944">
    <w:abstractNumId w:val="12"/>
  </w:num>
  <w:num w:numId="4" w16cid:durableId="1468815652">
    <w:abstractNumId w:val="6"/>
  </w:num>
  <w:num w:numId="5" w16cid:durableId="292369675">
    <w:abstractNumId w:val="0"/>
  </w:num>
  <w:num w:numId="6" w16cid:durableId="577710593">
    <w:abstractNumId w:val="15"/>
  </w:num>
  <w:num w:numId="7" w16cid:durableId="1974021406">
    <w:abstractNumId w:val="9"/>
  </w:num>
  <w:num w:numId="8" w16cid:durableId="1584873190">
    <w:abstractNumId w:val="3"/>
  </w:num>
  <w:num w:numId="9" w16cid:durableId="502208604">
    <w:abstractNumId w:val="5"/>
  </w:num>
  <w:num w:numId="10" w16cid:durableId="176606865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70357217">
    <w:abstractNumId w:val="2"/>
  </w:num>
  <w:num w:numId="12" w16cid:durableId="1054350827">
    <w:abstractNumId w:val="17"/>
  </w:num>
  <w:num w:numId="13" w16cid:durableId="92015720">
    <w:abstractNumId w:val="4"/>
  </w:num>
  <w:num w:numId="14" w16cid:durableId="353849579">
    <w:abstractNumId w:val="14"/>
  </w:num>
  <w:num w:numId="15" w16cid:durableId="25833503">
    <w:abstractNumId w:val="13"/>
  </w:num>
  <w:num w:numId="16" w16cid:durableId="2079860013">
    <w:abstractNumId w:val="12"/>
    <w:lvlOverride w:ilvl="0">
      <w:startOverride w:val="1"/>
    </w:lvlOverride>
  </w:num>
  <w:num w:numId="17" w16cid:durableId="1624726820">
    <w:abstractNumId w:val="7"/>
  </w:num>
  <w:num w:numId="18" w16cid:durableId="777869140">
    <w:abstractNumId w:val="16"/>
  </w:num>
  <w:num w:numId="19" w16cid:durableId="166335494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9BA"/>
    <w:rsid w:val="00007579"/>
    <w:rsid w:val="00030C7C"/>
    <w:rsid w:val="000317FE"/>
    <w:rsid w:val="000340E5"/>
    <w:rsid w:val="00052977"/>
    <w:rsid w:val="000535E1"/>
    <w:rsid w:val="00057272"/>
    <w:rsid w:val="00064C09"/>
    <w:rsid w:val="0007393D"/>
    <w:rsid w:val="00073962"/>
    <w:rsid w:val="00075029"/>
    <w:rsid w:val="00080822"/>
    <w:rsid w:val="00081611"/>
    <w:rsid w:val="00081709"/>
    <w:rsid w:val="00083F14"/>
    <w:rsid w:val="00085B1F"/>
    <w:rsid w:val="00090D90"/>
    <w:rsid w:val="00093228"/>
    <w:rsid w:val="000A2191"/>
    <w:rsid w:val="000A4912"/>
    <w:rsid w:val="000B6923"/>
    <w:rsid w:val="000C2FC7"/>
    <w:rsid w:val="000C5141"/>
    <w:rsid w:val="000C7F09"/>
    <w:rsid w:val="000D01C2"/>
    <w:rsid w:val="000D0CCA"/>
    <w:rsid w:val="000D1375"/>
    <w:rsid w:val="000D1E48"/>
    <w:rsid w:val="000D65E8"/>
    <w:rsid w:val="000E1DF8"/>
    <w:rsid w:val="000E71D8"/>
    <w:rsid w:val="000F7398"/>
    <w:rsid w:val="000F7A38"/>
    <w:rsid w:val="0011231F"/>
    <w:rsid w:val="001126F4"/>
    <w:rsid w:val="00113B47"/>
    <w:rsid w:val="00120B9B"/>
    <w:rsid w:val="00120FF8"/>
    <w:rsid w:val="0012526D"/>
    <w:rsid w:val="001271B5"/>
    <w:rsid w:val="00140DE7"/>
    <w:rsid w:val="0015157C"/>
    <w:rsid w:val="00153AB3"/>
    <w:rsid w:val="00155582"/>
    <w:rsid w:val="00155D11"/>
    <w:rsid w:val="0016781B"/>
    <w:rsid w:val="001730D2"/>
    <w:rsid w:val="001762BA"/>
    <w:rsid w:val="001776D9"/>
    <w:rsid w:val="00190050"/>
    <w:rsid w:val="0019493E"/>
    <w:rsid w:val="00196BE0"/>
    <w:rsid w:val="001A28BA"/>
    <w:rsid w:val="001A2943"/>
    <w:rsid w:val="001A4E7F"/>
    <w:rsid w:val="001B2658"/>
    <w:rsid w:val="001B6B44"/>
    <w:rsid w:val="001C1CFE"/>
    <w:rsid w:val="001C3123"/>
    <w:rsid w:val="001D0100"/>
    <w:rsid w:val="001D12DB"/>
    <w:rsid w:val="001D1D49"/>
    <w:rsid w:val="001D3F71"/>
    <w:rsid w:val="001E1334"/>
    <w:rsid w:val="001E58F3"/>
    <w:rsid w:val="001E7BFD"/>
    <w:rsid w:val="001F1417"/>
    <w:rsid w:val="001F3A44"/>
    <w:rsid w:val="001F3F71"/>
    <w:rsid w:val="001F623E"/>
    <w:rsid w:val="00201BD9"/>
    <w:rsid w:val="00206637"/>
    <w:rsid w:val="00207B63"/>
    <w:rsid w:val="00215348"/>
    <w:rsid w:val="0021536D"/>
    <w:rsid w:val="002159BA"/>
    <w:rsid w:val="00216A4D"/>
    <w:rsid w:val="002204BD"/>
    <w:rsid w:val="002233C6"/>
    <w:rsid w:val="0022416C"/>
    <w:rsid w:val="002274E9"/>
    <w:rsid w:val="00227C2F"/>
    <w:rsid w:val="00231539"/>
    <w:rsid w:val="00231CD5"/>
    <w:rsid w:val="00233B19"/>
    <w:rsid w:val="002343D7"/>
    <w:rsid w:val="002557AE"/>
    <w:rsid w:val="00271E1A"/>
    <w:rsid w:val="00272B66"/>
    <w:rsid w:val="00276865"/>
    <w:rsid w:val="002800C1"/>
    <w:rsid w:val="00281EC5"/>
    <w:rsid w:val="00285255"/>
    <w:rsid w:val="00291AAA"/>
    <w:rsid w:val="00297CBE"/>
    <w:rsid w:val="002A2040"/>
    <w:rsid w:val="002A3655"/>
    <w:rsid w:val="002A61D9"/>
    <w:rsid w:val="002A7030"/>
    <w:rsid w:val="002B2BD3"/>
    <w:rsid w:val="002B301A"/>
    <w:rsid w:val="002B7B50"/>
    <w:rsid w:val="002C4F5B"/>
    <w:rsid w:val="002D03AD"/>
    <w:rsid w:val="002D5688"/>
    <w:rsid w:val="002E0AF4"/>
    <w:rsid w:val="002E7A97"/>
    <w:rsid w:val="002E7F35"/>
    <w:rsid w:val="002F1060"/>
    <w:rsid w:val="002F56DC"/>
    <w:rsid w:val="002F5E6B"/>
    <w:rsid w:val="002F76F3"/>
    <w:rsid w:val="003079F4"/>
    <w:rsid w:val="003110CD"/>
    <w:rsid w:val="00325100"/>
    <w:rsid w:val="00325F22"/>
    <w:rsid w:val="0033359A"/>
    <w:rsid w:val="0034382A"/>
    <w:rsid w:val="00343C10"/>
    <w:rsid w:val="00345613"/>
    <w:rsid w:val="00354D32"/>
    <w:rsid w:val="00357F17"/>
    <w:rsid w:val="003618A3"/>
    <w:rsid w:val="00362EA9"/>
    <w:rsid w:val="00362FA0"/>
    <w:rsid w:val="003646F6"/>
    <w:rsid w:val="00365932"/>
    <w:rsid w:val="0036798A"/>
    <w:rsid w:val="00371AC2"/>
    <w:rsid w:val="00380334"/>
    <w:rsid w:val="0038120A"/>
    <w:rsid w:val="003822B9"/>
    <w:rsid w:val="00397F06"/>
    <w:rsid w:val="003A0AA9"/>
    <w:rsid w:val="003A272D"/>
    <w:rsid w:val="003A57A8"/>
    <w:rsid w:val="003A5942"/>
    <w:rsid w:val="003A7943"/>
    <w:rsid w:val="003B064B"/>
    <w:rsid w:val="003B0DA9"/>
    <w:rsid w:val="003B541F"/>
    <w:rsid w:val="003D0905"/>
    <w:rsid w:val="003F0FD8"/>
    <w:rsid w:val="003F4283"/>
    <w:rsid w:val="00400FEA"/>
    <w:rsid w:val="00410C32"/>
    <w:rsid w:val="00413C81"/>
    <w:rsid w:val="00423296"/>
    <w:rsid w:val="00431B2C"/>
    <w:rsid w:val="00434B45"/>
    <w:rsid w:val="004359E5"/>
    <w:rsid w:val="00452319"/>
    <w:rsid w:val="00462660"/>
    <w:rsid w:val="00464341"/>
    <w:rsid w:val="00466890"/>
    <w:rsid w:val="004716F1"/>
    <w:rsid w:val="00474423"/>
    <w:rsid w:val="004A1252"/>
    <w:rsid w:val="004A608E"/>
    <w:rsid w:val="004B6550"/>
    <w:rsid w:val="004D462D"/>
    <w:rsid w:val="004F3E23"/>
    <w:rsid w:val="00501230"/>
    <w:rsid w:val="00502AB5"/>
    <w:rsid w:val="00503396"/>
    <w:rsid w:val="00503A66"/>
    <w:rsid w:val="00513987"/>
    <w:rsid w:val="00517EC2"/>
    <w:rsid w:val="00530501"/>
    <w:rsid w:val="00542FFA"/>
    <w:rsid w:val="00561471"/>
    <w:rsid w:val="0056658F"/>
    <w:rsid w:val="00581A47"/>
    <w:rsid w:val="00591234"/>
    <w:rsid w:val="0059340D"/>
    <w:rsid w:val="005A0780"/>
    <w:rsid w:val="005A4F6B"/>
    <w:rsid w:val="005A6437"/>
    <w:rsid w:val="005B321C"/>
    <w:rsid w:val="005B353B"/>
    <w:rsid w:val="005B379A"/>
    <w:rsid w:val="005B6BBF"/>
    <w:rsid w:val="005C2A77"/>
    <w:rsid w:val="005C2F98"/>
    <w:rsid w:val="005E74ED"/>
    <w:rsid w:val="005F4CF5"/>
    <w:rsid w:val="006009BB"/>
    <w:rsid w:val="00604270"/>
    <w:rsid w:val="006072B0"/>
    <w:rsid w:val="006118D9"/>
    <w:rsid w:val="006171EC"/>
    <w:rsid w:val="00624899"/>
    <w:rsid w:val="00625D12"/>
    <w:rsid w:val="00627D2E"/>
    <w:rsid w:val="006334E9"/>
    <w:rsid w:val="0064244F"/>
    <w:rsid w:val="0067518B"/>
    <w:rsid w:val="0068008E"/>
    <w:rsid w:val="00686101"/>
    <w:rsid w:val="00686C59"/>
    <w:rsid w:val="00686C89"/>
    <w:rsid w:val="00692850"/>
    <w:rsid w:val="00692F44"/>
    <w:rsid w:val="006A778A"/>
    <w:rsid w:val="006D09CF"/>
    <w:rsid w:val="006D4A0C"/>
    <w:rsid w:val="006E1B59"/>
    <w:rsid w:val="006E71E4"/>
    <w:rsid w:val="006F0369"/>
    <w:rsid w:val="006F09E9"/>
    <w:rsid w:val="006F4FBD"/>
    <w:rsid w:val="00705AC5"/>
    <w:rsid w:val="00712DDA"/>
    <w:rsid w:val="00721067"/>
    <w:rsid w:val="00726DC2"/>
    <w:rsid w:val="007401CD"/>
    <w:rsid w:val="00743CFA"/>
    <w:rsid w:val="00750FA2"/>
    <w:rsid w:val="00753548"/>
    <w:rsid w:val="00754A17"/>
    <w:rsid w:val="0077684A"/>
    <w:rsid w:val="007778A3"/>
    <w:rsid w:val="00786288"/>
    <w:rsid w:val="007A03E7"/>
    <w:rsid w:val="007B24A1"/>
    <w:rsid w:val="007B33CC"/>
    <w:rsid w:val="007B422B"/>
    <w:rsid w:val="007B778B"/>
    <w:rsid w:val="007C5F78"/>
    <w:rsid w:val="007C69D9"/>
    <w:rsid w:val="007C70F9"/>
    <w:rsid w:val="007D3BFB"/>
    <w:rsid w:val="007E290A"/>
    <w:rsid w:val="007E2C2F"/>
    <w:rsid w:val="007E7A4A"/>
    <w:rsid w:val="007F3F30"/>
    <w:rsid w:val="00804258"/>
    <w:rsid w:val="008079E0"/>
    <w:rsid w:val="00826CDE"/>
    <w:rsid w:val="00830438"/>
    <w:rsid w:val="00834A91"/>
    <w:rsid w:val="008354C1"/>
    <w:rsid w:val="00840259"/>
    <w:rsid w:val="00846C30"/>
    <w:rsid w:val="00851908"/>
    <w:rsid w:val="00852335"/>
    <w:rsid w:val="008608AA"/>
    <w:rsid w:val="00867FB3"/>
    <w:rsid w:val="00890A2E"/>
    <w:rsid w:val="00890C0F"/>
    <w:rsid w:val="00893CDE"/>
    <w:rsid w:val="00896FB5"/>
    <w:rsid w:val="0089736C"/>
    <w:rsid w:val="008A0DB1"/>
    <w:rsid w:val="008A46AE"/>
    <w:rsid w:val="008C70B5"/>
    <w:rsid w:val="008D672F"/>
    <w:rsid w:val="008D7461"/>
    <w:rsid w:val="008E404F"/>
    <w:rsid w:val="008F2119"/>
    <w:rsid w:val="008F32AB"/>
    <w:rsid w:val="008F565F"/>
    <w:rsid w:val="008F76C3"/>
    <w:rsid w:val="00901FB4"/>
    <w:rsid w:val="00903536"/>
    <w:rsid w:val="009056A1"/>
    <w:rsid w:val="0090705F"/>
    <w:rsid w:val="0091362E"/>
    <w:rsid w:val="0092585F"/>
    <w:rsid w:val="009316E9"/>
    <w:rsid w:val="00941350"/>
    <w:rsid w:val="00942643"/>
    <w:rsid w:val="0095097C"/>
    <w:rsid w:val="0095427E"/>
    <w:rsid w:val="009608AF"/>
    <w:rsid w:val="00972451"/>
    <w:rsid w:val="00982263"/>
    <w:rsid w:val="00983B01"/>
    <w:rsid w:val="00992E2F"/>
    <w:rsid w:val="009C0148"/>
    <w:rsid w:val="009D33F5"/>
    <w:rsid w:val="009D43A5"/>
    <w:rsid w:val="009D7795"/>
    <w:rsid w:val="009E72F4"/>
    <w:rsid w:val="009E7DBC"/>
    <w:rsid w:val="009F3BC7"/>
    <w:rsid w:val="009F4289"/>
    <w:rsid w:val="00A03630"/>
    <w:rsid w:val="00A11B86"/>
    <w:rsid w:val="00A17CC2"/>
    <w:rsid w:val="00A211C8"/>
    <w:rsid w:val="00A241C2"/>
    <w:rsid w:val="00A25BD7"/>
    <w:rsid w:val="00A2687A"/>
    <w:rsid w:val="00A31EB5"/>
    <w:rsid w:val="00A32916"/>
    <w:rsid w:val="00A35BA3"/>
    <w:rsid w:val="00A40804"/>
    <w:rsid w:val="00A52DEE"/>
    <w:rsid w:val="00A54B1C"/>
    <w:rsid w:val="00A65DAD"/>
    <w:rsid w:val="00A705CF"/>
    <w:rsid w:val="00A7261A"/>
    <w:rsid w:val="00A75674"/>
    <w:rsid w:val="00A83299"/>
    <w:rsid w:val="00A83CA9"/>
    <w:rsid w:val="00A845E8"/>
    <w:rsid w:val="00A85779"/>
    <w:rsid w:val="00A90AE3"/>
    <w:rsid w:val="00A942E1"/>
    <w:rsid w:val="00A96C8F"/>
    <w:rsid w:val="00AA0C84"/>
    <w:rsid w:val="00AA6ABE"/>
    <w:rsid w:val="00AB117E"/>
    <w:rsid w:val="00AB22F5"/>
    <w:rsid w:val="00AB2633"/>
    <w:rsid w:val="00AB373A"/>
    <w:rsid w:val="00AB3EB1"/>
    <w:rsid w:val="00AC593F"/>
    <w:rsid w:val="00AD6125"/>
    <w:rsid w:val="00AE4752"/>
    <w:rsid w:val="00AE7AA6"/>
    <w:rsid w:val="00AF0D63"/>
    <w:rsid w:val="00AF1705"/>
    <w:rsid w:val="00AF1B18"/>
    <w:rsid w:val="00AF7B4A"/>
    <w:rsid w:val="00B0143B"/>
    <w:rsid w:val="00B049E7"/>
    <w:rsid w:val="00B12E9D"/>
    <w:rsid w:val="00B13B04"/>
    <w:rsid w:val="00B258F9"/>
    <w:rsid w:val="00B35888"/>
    <w:rsid w:val="00B35DC4"/>
    <w:rsid w:val="00B36942"/>
    <w:rsid w:val="00B467AF"/>
    <w:rsid w:val="00B46FE1"/>
    <w:rsid w:val="00B510B2"/>
    <w:rsid w:val="00B57F6C"/>
    <w:rsid w:val="00B60D8E"/>
    <w:rsid w:val="00B61E85"/>
    <w:rsid w:val="00B73D4F"/>
    <w:rsid w:val="00B81B40"/>
    <w:rsid w:val="00B87F80"/>
    <w:rsid w:val="00BA2DF6"/>
    <w:rsid w:val="00BB13B6"/>
    <w:rsid w:val="00BB2D5C"/>
    <w:rsid w:val="00BD468A"/>
    <w:rsid w:val="00BE168F"/>
    <w:rsid w:val="00BE733E"/>
    <w:rsid w:val="00BF485B"/>
    <w:rsid w:val="00C00BF0"/>
    <w:rsid w:val="00C055E9"/>
    <w:rsid w:val="00C057D3"/>
    <w:rsid w:val="00C146C9"/>
    <w:rsid w:val="00C15E8A"/>
    <w:rsid w:val="00C16E04"/>
    <w:rsid w:val="00C24254"/>
    <w:rsid w:val="00C34A46"/>
    <w:rsid w:val="00C41A4B"/>
    <w:rsid w:val="00C572D3"/>
    <w:rsid w:val="00C60354"/>
    <w:rsid w:val="00C606B6"/>
    <w:rsid w:val="00C63321"/>
    <w:rsid w:val="00C71413"/>
    <w:rsid w:val="00C74282"/>
    <w:rsid w:val="00C74BE8"/>
    <w:rsid w:val="00C761A3"/>
    <w:rsid w:val="00C81E13"/>
    <w:rsid w:val="00C852B4"/>
    <w:rsid w:val="00C874A6"/>
    <w:rsid w:val="00C9200C"/>
    <w:rsid w:val="00C94915"/>
    <w:rsid w:val="00C94F49"/>
    <w:rsid w:val="00CA273E"/>
    <w:rsid w:val="00CA3CEE"/>
    <w:rsid w:val="00CB0180"/>
    <w:rsid w:val="00CB7082"/>
    <w:rsid w:val="00CB7D03"/>
    <w:rsid w:val="00CD07A9"/>
    <w:rsid w:val="00CD39C3"/>
    <w:rsid w:val="00CD7E0E"/>
    <w:rsid w:val="00CF393C"/>
    <w:rsid w:val="00D0377B"/>
    <w:rsid w:val="00D05FD9"/>
    <w:rsid w:val="00D06051"/>
    <w:rsid w:val="00D10923"/>
    <w:rsid w:val="00D11227"/>
    <w:rsid w:val="00D13518"/>
    <w:rsid w:val="00D23FC0"/>
    <w:rsid w:val="00D24F0C"/>
    <w:rsid w:val="00D3218D"/>
    <w:rsid w:val="00D375A7"/>
    <w:rsid w:val="00D42688"/>
    <w:rsid w:val="00D5434C"/>
    <w:rsid w:val="00D5451D"/>
    <w:rsid w:val="00D6036E"/>
    <w:rsid w:val="00D67D52"/>
    <w:rsid w:val="00D72DDA"/>
    <w:rsid w:val="00D77ECD"/>
    <w:rsid w:val="00D81A9A"/>
    <w:rsid w:val="00D85C8D"/>
    <w:rsid w:val="00D85DD7"/>
    <w:rsid w:val="00D8625B"/>
    <w:rsid w:val="00D94A82"/>
    <w:rsid w:val="00D96339"/>
    <w:rsid w:val="00DA024E"/>
    <w:rsid w:val="00DA1E79"/>
    <w:rsid w:val="00DB0339"/>
    <w:rsid w:val="00DB0BFB"/>
    <w:rsid w:val="00DB0FB7"/>
    <w:rsid w:val="00DB34D2"/>
    <w:rsid w:val="00DB55EF"/>
    <w:rsid w:val="00DC55AD"/>
    <w:rsid w:val="00DD2115"/>
    <w:rsid w:val="00DD4041"/>
    <w:rsid w:val="00DD6D02"/>
    <w:rsid w:val="00DE0202"/>
    <w:rsid w:val="00DE0B9C"/>
    <w:rsid w:val="00DE7F64"/>
    <w:rsid w:val="00DF37D9"/>
    <w:rsid w:val="00E00DFA"/>
    <w:rsid w:val="00E153AB"/>
    <w:rsid w:val="00E1643A"/>
    <w:rsid w:val="00E1781E"/>
    <w:rsid w:val="00E207B8"/>
    <w:rsid w:val="00E23650"/>
    <w:rsid w:val="00E24834"/>
    <w:rsid w:val="00E2678D"/>
    <w:rsid w:val="00E30299"/>
    <w:rsid w:val="00E302BB"/>
    <w:rsid w:val="00E34277"/>
    <w:rsid w:val="00E3448F"/>
    <w:rsid w:val="00E344D0"/>
    <w:rsid w:val="00E42F34"/>
    <w:rsid w:val="00E441DE"/>
    <w:rsid w:val="00E4530E"/>
    <w:rsid w:val="00E544FD"/>
    <w:rsid w:val="00E5607B"/>
    <w:rsid w:val="00E56957"/>
    <w:rsid w:val="00E61F92"/>
    <w:rsid w:val="00E662B7"/>
    <w:rsid w:val="00E80625"/>
    <w:rsid w:val="00E85F46"/>
    <w:rsid w:val="00E91B65"/>
    <w:rsid w:val="00E920A1"/>
    <w:rsid w:val="00E92243"/>
    <w:rsid w:val="00E9259F"/>
    <w:rsid w:val="00E967C6"/>
    <w:rsid w:val="00E97221"/>
    <w:rsid w:val="00EA7336"/>
    <w:rsid w:val="00EA7FDF"/>
    <w:rsid w:val="00EB60E3"/>
    <w:rsid w:val="00EC6564"/>
    <w:rsid w:val="00ED33A0"/>
    <w:rsid w:val="00EE1BC7"/>
    <w:rsid w:val="00EE4EF0"/>
    <w:rsid w:val="00F01B45"/>
    <w:rsid w:val="00F0368E"/>
    <w:rsid w:val="00F04045"/>
    <w:rsid w:val="00F1091F"/>
    <w:rsid w:val="00F10D6F"/>
    <w:rsid w:val="00F13CED"/>
    <w:rsid w:val="00F1457C"/>
    <w:rsid w:val="00F20990"/>
    <w:rsid w:val="00F26245"/>
    <w:rsid w:val="00F26E83"/>
    <w:rsid w:val="00F31550"/>
    <w:rsid w:val="00F37575"/>
    <w:rsid w:val="00F4305B"/>
    <w:rsid w:val="00F43E7B"/>
    <w:rsid w:val="00F4452A"/>
    <w:rsid w:val="00F52891"/>
    <w:rsid w:val="00F679B9"/>
    <w:rsid w:val="00F71847"/>
    <w:rsid w:val="00F71D5B"/>
    <w:rsid w:val="00F83674"/>
    <w:rsid w:val="00F86123"/>
    <w:rsid w:val="00F93A3F"/>
    <w:rsid w:val="00F94686"/>
    <w:rsid w:val="00F95890"/>
    <w:rsid w:val="00F96B41"/>
    <w:rsid w:val="00F976CD"/>
    <w:rsid w:val="00FA23A0"/>
    <w:rsid w:val="00FA466D"/>
    <w:rsid w:val="00FC46CE"/>
    <w:rsid w:val="00FC6926"/>
    <w:rsid w:val="00FD0B77"/>
    <w:rsid w:val="00FD428E"/>
    <w:rsid w:val="00FD5A09"/>
    <w:rsid w:val="00FD6BF1"/>
    <w:rsid w:val="00FE4530"/>
    <w:rsid w:val="00FE4E5E"/>
    <w:rsid w:val="00FF0117"/>
    <w:rsid w:val="00FF057F"/>
    <w:rsid w:val="00FF0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CF783BC"/>
  <w15:docId w15:val="{F8BC83DB-7564-4656-856A-16555B56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3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F71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86C8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nhideWhenUsed/>
    <w:qFormat/>
    <w:rsid w:val="00120B9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A29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E56957"/>
    <w:rPr>
      <w:color w:val="0000FF" w:themeColor="hyperlink"/>
      <w:u w:val="single"/>
    </w:rPr>
  </w:style>
  <w:style w:type="paragraph" w:customStyle="1" w:styleId="OdrkyEQerven">
    <w:name w:val="Odrážky EQ červené"/>
    <w:basedOn w:val="Normln"/>
    <w:qFormat/>
    <w:rsid w:val="00E56957"/>
    <w:pPr>
      <w:numPr>
        <w:numId w:val="1"/>
      </w:numPr>
      <w:autoSpaceDE w:val="0"/>
      <w:autoSpaceDN w:val="0"/>
      <w:adjustRightInd w:val="0"/>
      <w:spacing w:before="120" w:line="276" w:lineRule="auto"/>
      <w:jc w:val="both"/>
    </w:pPr>
    <w:rPr>
      <w:rFonts w:ascii="Arial" w:eastAsia="Calibri" w:hAnsi="Arial"/>
      <w:color w:val="000000"/>
      <w:sz w:val="22"/>
      <w:szCs w:val="22"/>
      <w:lang w:eastAsia="cs-CZ"/>
    </w:rPr>
  </w:style>
  <w:style w:type="paragraph" w:styleId="Odstavecseseznamem">
    <w:name w:val="List Paragraph"/>
    <w:aliases w:val="Odstavec_muj,Conclusion de partie,References,Odstavec se seznamem2,Dot pt,Indicator Text,LISTA,List Paragraph Char Char Char,List Paragraph à moi,List Paragraph1,Listaszerű bekezdés1,Listaszerű bekezdés2,Listaszerű bekezdés3,Nad"/>
    <w:basedOn w:val="Normln"/>
    <w:link w:val="OdstavecseseznamemChar"/>
    <w:uiPriority w:val="34"/>
    <w:qFormat/>
    <w:rsid w:val="00E5695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character" w:styleId="Znakapoznpodarou">
    <w:name w:val="footnote reference"/>
    <w:aliases w:val="Footnote number"/>
    <w:basedOn w:val="Standardnpsmoodstavce"/>
    <w:uiPriority w:val="99"/>
    <w:rsid w:val="00064C09"/>
    <w:rPr>
      <w:vertAlign w:val="superscript"/>
    </w:rPr>
  </w:style>
  <w:style w:type="paragraph" w:customStyle="1" w:styleId="Poznmkypodarou">
    <w:name w:val="Poznámky pod čarou"/>
    <w:basedOn w:val="Normln"/>
    <w:autoRedefine/>
    <w:qFormat/>
    <w:rsid w:val="00064C09"/>
    <w:pPr>
      <w:ind w:left="198" w:hanging="198"/>
      <w:contextualSpacing/>
    </w:pPr>
    <w:rPr>
      <w:rFonts w:ascii="Arial" w:eastAsia="Calibri" w:hAnsi="Arial" w:cs="Tahoma"/>
      <w:sz w:val="22"/>
      <w:szCs w:val="20"/>
      <w:vertAlign w:val="superscript"/>
      <w:lang w:eastAsia="cs-CZ"/>
    </w:rPr>
  </w:style>
  <w:style w:type="paragraph" w:styleId="Textpoznpodarou">
    <w:name w:val="footnote text"/>
    <w:basedOn w:val="Normln"/>
    <w:link w:val="TextpoznpodarouChar"/>
    <w:rsid w:val="00085B1F"/>
    <w:pPr>
      <w:spacing w:line="276" w:lineRule="auto"/>
    </w:pPr>
    <w:rPr>
      <w:sz w:val="22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085B1F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TNSBulletlevel1">
    <w:name w:val="TNS Bullet level 1"/>
    <w:uiPriority w:val="99"/>
    <w:rsid w:val="00085B1F"/>
    <w:pPr>
      <w:numPr>
        <w:numId w:val="2"/>
      </w:numPr>
      <w:spacing w:after="0" w:line="280" w:lineRule="exact"/>
    </w:pPr>
    <w:rPr>
      <w:rFonts w:ascii="Verdana" w:eastAsia="Times New Roman" w:hAnsi="Verdana" w:cs="Times New Roman"/>
      <w:color w:val="333333"/>
      <w:sz w:val="18"/>
      <w:szCs w:val="18"/>
      <w:lang w:val="en-AU" w:eastAsia="en-AU"/>
    </w:rPr>
  </w:style>
  <w:style w:type="character" w:styleId="Siln">
    <w:name w:val="Strong"/>
    <w:basedOn w:val="Standardnpsmoodstavce"/>
    <w:uiPriority w:val="99"/>
    <w:qFormat/>
    <w:rsid w:val="00085B1F"/>
    <w:rPr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5B1F"/>
    <w:pPr>
      <w:keepNext/>
      <w:framePr w:wrap="around" w:vAnchor="text" w:hAnchor="margin" w:xAlign="center" w:y="1"/>
      <w:pBdr>
        <w:bottom w:val="single" w:sz="4" w:space="3" w:color="000066"/>
      </w:pBdr>
      <w:spacing w:before="240" w:after="160" w:line="276" w:lineRule="auto"/>
      <w:ind w:left="1077" w:hanging="1077"/>
    </w:pPr>
    <w:rPr>
      <w:rFonts w:ascii="Arial" w:hAnsi="Arial" w:cs="Tahoma"/>
      <w:b/>
      <w:bCs/>
      <w:iCs/>
      <w:color w:val="000066"/>
      <w:lang w:eastAsia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5B1F"/>
    <w:rPr>
      <w:rFonts w:ascii="Arial" w:eastAsia="Times New Roman" w:hAnsi="Arial" w:cs="Tahoma"/>
      <w:b/>
      <w:bCs/>
      <w:iCs/>
      <w:color w:val="000066"/>
      <w:sz w:val="24"/>
      <w:szCs w:val="24"/>
      <w:lang w:eastAsia="cs-CZ"/>
    </w:rPr>
  </w:style>
  <w:style w:type="character" w:styleId="Zdraznnjemn">
    <w:name w:val="Subtle Emphasis"/>
    <w:basedOn w:val="Standardnpsmoodstavce"/>
    <w:uiPriority w:val="19"/>
    <w:qFormat/>
    <w:rsid w:val="00CD07A9"/>
    <w:rPr>
      <w:rFonts w:ascii="Arial" w:hAnsi="Arial"/>
      <w:i/>
      <w:iCs/>
      <w:color w:val="808080"/>
      <w:sz w:val="22"/>
    </w:rPr>
  </w:style>
  <w:style w:type="table" w:styleId="Mkatabulky">
    <w:name w:val="Table Grid"/>
    <w:aliases w:val="Tabulka ANECT"/>
    <w:basedOn w:val="Normlntabulka"/>
    <w:uiPriority w:val="39"/>
    <w:rsid w:val="00CD07A9"/>
    <w:pPr>
      <w:spacing w:before="24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C2A77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C2A77"/>
  </w:style>
  <w:style w:type="paragraph" w:styleId="Zpat">
    <w:name w:val="footer"/>
    <w:basedOn w:val="Normln"/>
    <w:link w:val="ZpatChar"/>
    <w:uiPriority w:val="99"/>
    <w:unhideWhenUsed/>
    <w:rsid w:val="005C2A77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5C2A77"/>
  </w:style>
  <w:style w:type="paragraph" w:styleId="Textbubliny">
    <w:name w:val="Balloon Text"/>
    <w:basedOn w:val="Normln"/>
    <w:link w:val="TextbublinyChar"/>
    <w:uiPriority w:val="99"/>
    <w:semiHidden/>
    <w:unhideWhenUsed/>
    <w:rsid w:val="005C2A77"/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2A77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ln"/>
    <w:next w:val="Normln"/>
    <w:rsid w:val="000535E1"/>
    <w:pPr>
      <w:keepNext/>
      <w:spacing w:before="240"/>
      <w:jc w:val="center"/>
    </w:pPr>
    <w:rPr>
      <w:noProof/>
      <w:lang w:eastAsia="cs-CZ"/>
    </w:rPr>
  </w:style>
  <w:style w:type="character" w:customStyle="1" w:styleId="tituleknadpisu">
    <w:name w:val="titulek nadpisu"/>
    <w:rsid w:val="000535E1"/>
    <w:rPr>
      <w:b/>
    </w:rPr>
  </w:style>
  <w:style w:type="character" w:customStyle="1" w:styleId="cizojazycne">
    <w:name w:val="cizojazycne"/>
    <w:basedOn w:val="Standardnpsmoodstavce"/>
    <w:rsid w:val="00542FFA"/>
  </w:style>
  <w:style w:type="paragraph" w:styleId="Normlnweb">
    <w:name w:val="Normal (Web)"/>
    <w:basedOn w:val="Normln"/>
    <w:uiPriority w:val="99"/>
    <w:unhideWhenUsed/>
    <w:rsid w:val="00D8625B"/>
    <w:pPr>
      <w:spacing w:before="100" w:beforeAutospacing="1" w:after="100" w:afterAutospacing="1"/>
    </w:pPr>
    <w:rPr>
      <w:rFonts w:eastAsiaTheme="minorEastAsia"/>
      <w:lang w:eastAsia="cs-CZ"/>
    </w:rPr>
  </w:style>
  <w:style w:type="paragraph" w:customStyle="1" w:styleId="Default">
    <w:name w:val="Default"/>
    <w:rsid w:val="00D862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tavecseseznamemChar">
    <w:name w:val="Odstavec se seznamem Char"/>
    <w:aliases w:val="Odstavec_muj Char,Conclusion de partie Char,References Char,Odstavec se seznamem2 Char,Dot pt Char,Indicator Text Char,LISTA Char,List Paragraph Char Char Char Char,List Paragraph à moi Char,List Paragraph1 Char,Nad Char"/>
    <w:link w:val="Odstavecseseznamem"/>
    <w:uiPriority w:val="99"/>
    <w:qFormat/>
    <w:rsid w:val="00D8625B"/>
  </w:style>
  <w:style w:type="paragraph" w:customStyle="1" w:styleId="Textodstavce">
    <w:name w:val="Text odstavce"/>
    <w:basedOn w:val="Normln"/>
    <w:link w:val="TextodstavceChar1"/>
    <w:uiPriority w:val="99"/>
    <w:rsid w:val="00231CD5"/>
    <w:pPr>
      <w:numPr>
        <w:numId w:val="3"/>
      </w:numPr>
      <w:tabs>
        <w:tab w:val="left" w:pos="851"/>
      </w:tabs>
      <w:spacing w:before="120" w:after="120"/>
      <w:jc w:val="both"/>
      <w:outlineLvl w:val="6"/>
    </w:pPr>
    <w:rPr>
      <w:szCs w:val="20"/>
      <w:lang w:eastAsia="cs-CZ"/>
    </w:rPr>
  </w:style>
  <w:style w:type="paragraph" w:customStyle="1" w:styleId="Textbodu">
    <w:name w:val="Text bodu"/>
    <w:basedOn w:val="Normln"/>
    <w:uiPriority w:val="99"/>
    <w:rsid w:val="00231CD5"/>
    <w:pPr>
      <w:numPr>
        <w:ilvl w:val="2"/>
        <w:numId w:val="3"/>
      </w:numPr>
      <w:jc w:val="both"/>
      <w:outlineLvl w:val="8"/>
    </w:pPr>
    <w:rPr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231CD5"/>
    <w:pPr>
      <w:jc w:val="both"/>
      <w:outlineLvl w:val="7"/>
    </w:pPr>
    <w:rPr>
      <w:szCs w:val="20"/>
      <w:lang w:eastAsia="cs-CZ"/>
    </w:rPr>
  </w:style>
  <w:style w:type="paragraph" w:customStyle="1" w:styleId="Paragraf0">
    <w:name w:val="Paragraf"/>
    <w:basedOn w:val="Normln"/>
    <w:next w:val="Textodstavce"/>
    <w:uiPriority w:val="99"/>
    <w:rsid w:val="00231CD5"/>
    <w:pPr>
      <w:keepNext/>
      <w:keepLines/>
      <w:spacing w:before="240"/>
      <w:jc w:val="center"/>
      <w:outlineLvl w:val="5"/>
    </w:pPr>
    <w:rPr>
      <w:szCs w:val="20"/>
      <w:lang w:eastAsia="cs-CZ"/>
    </w:rPr>
  </w:style>
  <w:style w:type="paragraph" w:styleId="Bezmezer">
    <w:name w:val="No Spacing"/>
    <w:uiPriority w:val="1"/>
    <w:qFormat/>
    <w:rsid w:val="00231CD5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rsid w:val="00CB0180"/>
    <w:rPr>
      <w:rFonts w:ascii="Calibri" w:eastAsia="Calibri" w:hAnsi="Calibri"/>
      <w:sz w:val="22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B0180"/>
    <w:rPr>
      <w:rFonts w:ascii="Calibri" w:eastAsia="Calibri" w:hAnsi="Calibri" w:cs="Times New Roman"/>
      <w:szCs w:val="21"/>
    </w:rPr>
  </w:style>
  <w:style w:type="character" w:customStyle="1" w:styleId="xsptextcomputedfield">
    <w:name w:val="xsptextcomputedfield"/>
    <w:basedOn w:val="Standardnpsmoodstavce"/>
    <w:rsid w:val="001762BA"/>
  </w:style>
  <w:style w:type="character" w:customStyle="1" w:styleId="Nadpis2Char">
    <w:name w:val="Nadpis 2 Char"/>
    <w:basedOn w:val="Standardnpsmoodstavce"/>
    <w:link w:val="Nadpis2"/>
    <w:uiPriority w:val="9"/>
    <w:rsid w:val="00686C8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extkomente">
    <w:name w:val="annotation text"/>
    <w:aliases w:val="Text poznámky"/>
    <w:basedOn w:val="Normln"/>
    <w:link w:val="TextkomenteChar"/>
    <w:unhideWhenUsed/>
    <w:rsid w:val="00686C89"/>
    <w:pPr>
      <w:pBdr>
        <w:top w:val="nil"/>
        <w:left w:val="nil"/>
        <w:bottom w:val="nil"/>
        <w:right w:val="nil"/>
        <w:between w:val="nil"/>
      </w:pBdr>
    </w:pPr>
    <w:rPr>
      <w:rFonts w:ascii="Arial" w:eastAsia="Arial" w:hAnsi="Arial" w:cs="Arial"/>
      <w:color w:val="000000"/>
      <w:sz w:val="20"/>
      <w:szCs w:val="20"/>
      <w:lang w:eastAsia="cs-CZ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rsid w:val="00686C89"/>
    <w:rPr>
      <w:rFonts w:ascii="Arial" w:eastAsia="Arial" w:hAnsi="Arial" w:cs="Arial"/>
      <w:color w:val="000000"/>
      <w:sz w:val="20"/>
      <w:szCs w:val="20"/>
    </w:rPr>
  </w:style>
  <w:style w:type="character" w:styleId="PromnnHTML">
    <w:name w:val="HTML Variable"/>
    <w:basedOn w:val="Standardnpsmoodstavce"/>
    <w:uiPriority w:val="99"/>
    <w:unhideWhenUsed/>
    <w:rsid w:val="001C1CFE"/>
    <w:rPr>
      <w:i/>
      <w:iCs/>
    </w:rPr>
  </w:style>
  <w:style w:type="paragraph" w:customStyle="1" w:styleId="l6">
    <w:name w:val="l6"/>
    <w:basedOn w:val="Normln"/>
    <w:rsid w:val="001C1CFE"/>
    <w:pPr>
      <w:spacing w:before="100" w:beforeAutospacing="1" w:after="100" w:afterAutospacing="1"/>
    </w:pPr>
    <w:rPr>
      <w:rFonts w:eastAsiaTheme="minorHAnsi"/>
      <w:lang w:eastAsia="cs-CZ"/>
    </w:rPr>
  </w:style>
  <w:style w:type="paragraph" w:customStyle="1" w:styleId="doc-ti1">
    <w:name w:val="doc-ti1"/>
    <w:basedOn w:val="Normln"/>
    <w:rsid w:val="00E544FD"/>
    <w:pPr>
      <w:spacing w:before="240" w:after="120" w:line="312" w:lineRule="atLeast"/>
      <w:jc w:val="center"/>
    </w:pPr>
    <w:rPr>
      <w:rFonts w:eastAsiaTheme="minorHAnsi"/>
      <w:b/>
      <w:bCs/>
      <w:lang w:eastAsia="cs-CZ"/>
    </w:rPr>
  </w:style>
  <w:style w:type="paragraph" w:customStyle="1" w:styleId="normal1">
    <w:name w:val="normal1"/>
    <w:basedOn w:val="Normln"/>
    <w:rsid w:val="00E544FD"/>
    <w:pPr>
      <w:spacing w:before="120" w:line="312" w:lineRule="atLeast"/>
      <w:jc w:val="both"/>
    </w:pPr>
    <w:rPr>
      <w:rFonts w:eastAsiaTheme="minorHAnsi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E1BC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EE1BC7"/>
    <w:rPr>
      <w:color w:val="605E5C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96B41"/>
    <w:rPr>
      <w:color w:val="605E5C"/>
      <w:shd w:val="clear" w:color="auto" w:fill="E1DFDD"/>
    </w:rPr>
  </w:style>
  <w:style w:type="paragraph" w:customStyle="1" w:styleId="Nvod">
    <w:name w:val="Návod"/>
    <w:basedOn w:val="Normln"/>
    <w:rsid w:val="00120B9B"/>
    <w:pPr>
      <w:overflowPunct w:val="0"/>
      <w:autoSpaceDE w:val="0"/>
      <w:autoSpaceDN w:val="0"/>
      <w:adjustRightInd w:val="0"/>
      <w:ind w:left="340" w:hanging="340"/>
    </w:pPr>
    <w:rPr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120B9B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dpiszkona">
    <w:name w:val="nadpis zákona"/>
    <w:basedOn w:val="Normln"/>
    <w:next w:val="Normln"/>
    <w:rsid w:val="00090D90"/>
    <w:pPr>
      <w:keepNext/>
      <w:keepLines/>
      <w:spacing w:before="120" w:after="200" w:line="276" w:lineRule="auto"/>
      <w:jc w:val="center"/>
      <w:outlineLvl w:val="0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A83299"/>
    <w:pPr>
      <w:spacing w:before="120" w:after="120"/>
    </w:pPr>
    <w:rPr>
      <w:rFonts w:asciiTheme="minorHAnsi" w:eastAsiaTheme="minorHAnsi" w:hAnsiTheme="minorHAnsi"/>
      <w:b/>
      <w:bCs/>
      <w:caps/>
      <w:sz w:val="20"/>
      <w:szCs w:val="20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F71D5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skypec2cprintcontainer">
    <w:name w:val="skype_c2c_print_container"/>
    <w:rsid w:val="00AF0D63"/>
  </w:style>
  <w:style w:type="paragraph" w:styleId="Titulek">
    <w:name w:val="caption"/>
    <w:basedOn w:val="Normln"/>
    <w:next w:val="Normln"/>
    <w:uiPriority w:val="35"/>
    <w:unhideWhenUsed/>
    <w:qFormat/>
    <w:rsid w:val="004D462D"/>
    <w:pPr>
      <w:pBdr>
        <w:top w:val="nil"/>
        <w:left w:val="nil"/>
        <w:bottom w:val="nil"/>
        <w:right w:val="nil"/>
        <w:between w:val="nil"/>
      </w:pBdr>
      <w:spacing w:after="200"/>
    </w:pPr>
    <w:rPr>
      <w:rFonts w:ascii="Calibri" w:eastAsia="Calibri" w:hAnsi="Calibri" w:cs="Calibri"/>
      <w:b/>
      <w:bCs/>
      <w:i/>
      <w:color w:val="4F81BD" w:themeColor="accent1"/>
      <w:sz w:val="22"/>
      <w:szCs w:val="18"/>
      <w:lang w:eastAsia="cs-CZ"/>
    </w:rPr>
  </w:style>
  <w:style w:type="paragraph" w:customStyle="1" w:styleId="xmsonormal">
    <w:name w:val="x_msonormal"/>
    <w:basedOn w:val="Normln"/>
    <w:rsid w:val="00DB0FB7"/>
    <w:rPr>
      <w:rFonts w:ascii="Calibri" w:eastAsiaTheme="minorHAnsi" w:hAnsi="Calibri"/>
      <w:sz w:val="22"/>
      <w:szCs w:val="22"/>
      <w:lang w:eastAsia="cs-CZ"/>
    </w:rPr>
  </w:style>
  <w:style w:type="paragraph" w:customStyle="1" w:styleId="mcntmsonormal">
    <w:name w:val="mcntmsonormal"/>
    <w:basedOn w:val="Normln"/>
    <w:rsid w:val="006171EC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basedOn w:val="Standardnpsmoodstavce"/>
    <w:rsid w:val="006171EC"/>
  </w:style>
  <w:style w:type="paragraph" w:customStyle="1" w:styleId="mcntgmail-m-2262495422873537080msolistparagraph">
    <w:name w:val="mcntgmail-m_-2262495422873537080msolistparagraph"/>
    <w:basedOn w:val="Normln"/>
    <w:rsid w:val="006171EC"/>
    <w:pPr>
      <w:spacing w:before="100" w:beforeAutospacing="1" w:after="100" w:afterAutospacing="1"/>
    </w:pPr>
    <w:rPr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A294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customStyle="1" w:styleId="v1-wm-msonormal">
    <w:name w:val="v1-wm-msonormal"/>
    <w:basedOn w:val="Normln"/>
    <w:rsid w:val="002E7A97"/>
    <w:pPr>
      <w:spacing w:before="100" w:beforeAutospacing="1" w:after="100" w:afterAutospacing="1"/>
    </w:pPr>
  </w:style>
  <w:style w:type="paragraph" w:customStyle="1" w:styleId="xxxxmsonormal">
    <w:name w:val="x_x_xxmsonormal"/>
    <w:basedOn w:val="Normln"/>
    <w:rsid w:val="0034382A"/>
    <w:rPr>
      <w:rFonts w:ascii="Calibri" w:eastAsiaTheme="minorHAnsi" w:hAnsi="Calibri" w:cs="Calibri"/>
      <w:sz w:val="22"/>
      <w:szCs w:val="22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AF170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stavceChar1">
    <w:name w:val="Text odstavce Char1"/>
    <w:basedOn w:val="Standardnpsmoodstavce"/>
    <w:link w:val="Textodstavce"/>
    <w:uiPriority w:val="99"/>
    <w:locked/>
    <w:rsid w:val="0042329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zajicek@mssch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DA8FD2-B2A1-4E04-BBCD-81D25240D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4114</Words>
  <Characters>24274</Characters>
  <Application>Microsoft Office Word</Application>
  <DocSecurity>0</DocSecurity>
  <Lines>202</Lines>
  <Paragraphs>56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Jan Zikeš</cp:lastModifiedBy>
  <cp:revision>9</cp:revision>
  <dcterms:created xsi:type="dcterms:W3CDTF">2023-10-25T12:59:00Z</dcterms:created>
  <dcterms:modified xsi:type="dcterms:W3CDTF">2023-10-25T13:04:00Z</dcterms:modified>
</cp:coreProperties>
</file>