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A9E06" w14:textId="77777777" w:rsidR="004D5836" w:rsidRDefault="004D5836">
      <w:r>
        <w:rPr>
          <w:noProof/>
        </w:rPr>
        <w:drawing>
          <wp:anchor distT="0" distB="0" distL="114300" distR="114300" simplePos="0" relativeHeight="251658240" behindDoc="1" locked="0" layoutInCell="1" allowOverlap="1" wp14:anchorId="3EC54569" wp14:editId="310495C0">
            <wp:simplePos x="0" y="0"/>
            <wp:positionH relativeFrom="column">
              <wp:posOffset>2042795</wp:posOffset>
            </wp:positionH>
            <wp:positionV relativeFrom="paragraph">
              <wp:posOffset>442595</wp:posOffset>
            </wp:positionV>
            <wp:extent cx="3990975" cy="581025"/>
            <wp:effectExtent l="0" t="0" r="9525" b="9525"/>
            <wp:wrapNone/>
            <wp:docPr id="1" name="Obrázek 1" descr="s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s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0975" cy="581025"/>
                    </a:xfrm>
                    <a:prstGeom prst="rect">
                      <a:avLst/>
                    </a:prstGeom>
                    <a:noFill/>
                  </pic:spPr>
                </pic:pic>
              </a:graphicData>
            </a:graphic>
            <wp14:sizeRelH relativeFrom="page">
              <wp14:pctWidth>0</wp14:pctWidth>
            </wp14:sizeRelH>
            <wp14:sizeRelV relativeFrom="page">
              <wp14:pctHeight>0</wp14:pctHeight>
            </wp14:sizeRelV>
          </wp:anchor>
        </w:drawing>
      </w:r>
    </w:p>
    <w:p w14:paraId="313D196F" w14:textId="77777777" w:rsidR="004D5836" w:rsidRPr="004D5836" w:rsidRDefault="004D5836" w:rsidP="004D5836"/>
    <w:p w14:paraId="10057538" w14:textId="77777777" w:rsidR="004D5836" w:rsidRDefault="004D5836" w:rsidP="004D5836"/>
    <w:p w14:paraId="3C6E9A2B" w14:textId="77777777" w:rsidR="00FB4ABA" w:rsidRDefault="004D5836" w:rsidP="004D5836">
      <w:pPr>
        <w:tabs>
          <w:tab w:val="left" w:pos="9612"/>
        </w:tabs>
      </w:pPr>
      <w:r>
        <w:tab/>
      </w:r>
    </w:p>
    <w:p w14:paraId="7A1D3FA1" w14:textId="77777777" w:rsidR="004D5836" w:rsidRDefault="004D5836" w:rsidP="004D5836">
      <w:pPr>
        <w:widowControl w:val="0"/>
        <w:autoSpaceDE w:val="0"/>
        <w:autoSpaceDN w:val="0"/>
        <w:adjustRightInd w:val="0"/>
        <w:spacing w:line="240" w:lineRule="atLeast"/>
        <w:textAlignment w:val="center"/>
        <w:rPr>
          <w:rFonts w:ascii="Arial" w:hAnsi="Arial" w:cs="Arial"/>
          <w:color w:val="000000"/>
        </w:rPr>
      </w:pPr>
      <w:r>
        <w:rPr>
          <w:rFonts w:ascii="Arial" w:hAnsi="Arial" w:cs="Arial"/>
          <w:color w:val="000000"/>
        </w:rPr>
        <w:t>PREZIDENT</w:t>
      </w:r>
    </w:p>
    <w:p w14:paraId="4F1F05CA" w14:textId="77777777" w:rsidR="004D5836" w:rsidRDefault="004D5836" w:rsidP="004D5836">
      <w:pPr>
        <w:pStyle w:val="Zkladntext"/>
        <w:jc w:val="center"/>
        <w:rPr>
          <w:rFonts w:ascii="Times New Roman" w:hAnsi="Times New Roman" w:cs="Times New Roman"/>
          <w:b/>
          <w:caps/>
        </w:rPr>
      </w:pPr>
      <w:r>
        <w:rPr>
          <w:rFonts w:ascii="Times New Roman" w:hAnsi="Times New Roman" w:cs="Times New Roman"/>
          <w:b/>
          <w:caps/>
        </w:rPr>
        <w:t>připomínkY k materiálu s názvem:</w:t>
      </w:r>
    </w:p>
    <w:p w14:paraId="742DEB6C" w14:textId="77777777" w:rsidR="004D5836" w:rsidRDefault="004D5836" w:rsidP="004D5836">
      <w:pPr>
        <w:pStyle w:val="Zkladntext"/>
        <w:jc w:val="center"/>
        <w:rPr>
          <w:rFonts w:ascii="Times New Roman" w:hAnsi="Times New Roman" w:cs="Times New Roman"/>
          <w:b/>
          <w:bCs/>
        </w:rPr>
      </w:pPr>
    </w:p>
    <w:p w14:paraId="36465CE8" w14:textId="77777777" w:rsidR="00BF4084" w:rsidRDefault="00BF4084" w:rsidP="004D5836">
      <w:pPr>
        <w:rPr>
          <w:rFonts w:ascii="Times New Roman" w:eastAsia="Times New Roman" w:hAnsi="Times New Roman" w:cs="Times New Roman"/>
          <w:b/>
          <w:bCs/>
          <w:sz w:val="24"/>
          <w:szCs w:val="24"/>
          <w:lang w:eastAsia="cs-CZ"/>
        </w:rPr>
      </w:pPr>
      <w:r w:rsidRPr="00BF4084">
        <w:rPr>
          <w:rFonts w:ascii="Times New Roman" w:eastAsia="Times New Roman" w:hAnsi="Times New Roman" w:cs="Times New Roman"/>
          <w:b/>
          <w:bCs/>
          <w:sz w:val="24"/>
          <w:szCs w:val="24"/>
          <w:lang w:eastAsia="cs-CZ"/>
        </w:rPr>
        <w:t>Návrh zákona, kterým se mění zákon č. 134/2016 Sb., o zadávání veřejných zakázek, ve znění pozdějších předpisů, a některé další související zákony.</w:t>
      </w:r>
    </w:p>
    <w:p w14:paraId="3F697F88" w14:textId="77777777" w:rsidR="00BF4084" w:rsidRDefault="00BF4084" w:rsidP="004D5836">
      <w:pPr>
        <w:rPr>
          <w:rFonts w:ascii="Times New Roman" w:hAnsi="Times New Roman" w:cs="Times New Roman"/>
          <w:b/>
          <w:bCs/>
          <w:sz w:val="24"/>
          <w:szCs w:val="24"/>
        </w:rPr>
      </w:pPr>
    </w:p>
    <w:p w14:paraId="3D19F2F8" w14:textId="4467064D" w:rsidR="005F61C4" w:rsidRPr="00A75C17" w:rsidRDefault="004D5836" w:rsidP="004D5836">
      <w:pPr>
        <w:rPr>
          <w:rFonts w:ascii="Times New Roman" w:hAnsi="Times New Roman" w:cs="Times New Roman"/>
          <w:b/>
          <w:color w:val="FF0000"/>
        </w:rPr>
      </w:pPr>
      <w:r w:rsidRPr="00F2496E">
        <w:rPr>
          <w:rFonts w:ascii="Times New Roman" w:hAnsi="Times New Roman" w:cs="Times New Roman"/>
          <w:b/>
          <w:color w:val="FF0000"/>
        </w:rPr>
        <w:t>Zásadní připomínky</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5088"/>
        <w:gridCol w:w="7513"/>
      </w:tblGrid>
      <w:tr w:rsidR="005F61C4" w14:paraId="613DD0BD" w14:textId="77777777" w:rsidTr="009F013A">
        <w:trPr>
          <w:trHeight w:val="340"/>
        </w:trPr>
        <w:tc>
          <w:tcPr>
            <w:tcW w:w="142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0790DD" w14:textId="4C5B2122" w:rsidR="005F61C4" w:rsidRDefault="005F61C4" w:rsidP="001D07DC">
            <w:pPr>
              <w:rPr>
                <w:rFonts w:ascii="Times New Roman" w:hAnsi="Times New Roman" w:cs="Times New Roman"/>
                <w:sz w:val="20"/>
                <w:szCs w:val="20"/>
              </w:rPr>
            </w:pPr>
            <w:r w:rsidRPr="005F61C4">
              <w:rPr>
                <w:rFonts w:ascii="Times New Roman" w:hAnsi="Times New Roman" w:cs="Times New Roman"/>
                <w:b/>
                <w:bCs/>
                <w:sz w:val="20"/>
                <w:szCs w:val="20"/>
              </w:rPr>
              <w:t>Připomínkové místo</w:t>
            </w:r>
          </w:p>
        </w:tc>
        <w:tc>
          <w:tcPr>
            <w:tcW w:w="50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DDBBED" w14:textId="77777777" w:rsidR="005F61C4" w:rsidRDefault="005F61C4" w:rsidP="001D07DC">
            <w:pPr>
              <w:rPr>
                <w:rFonts w:ascii="Times New Roman" w:hAnsi="Times New Roman" w:cs="Times New Roman"/>
                <w:sz w:val="20"/>
                <w:szCs w:val="20"/>
              </w:rPr>
            </w:pPr>
            <w:r>
              <w:rPr>
                <w:rFonts w:ascii="Times New Roman" w:hAnsi="Times New Roman" w:cs="Times New Roman"/>
                <w:b/>
                <w:bCs/>
                <w:sz w:val="20"/>
                <w:szCs w:val="20"/>
              </w:rPr>
              <w:t>Připomínka</w:t>
            </w:r>
          </w:p>
        </w:tc>
        <w:tc>
          <w:tcPr>
            <w:tcW w:w="751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7F6B23" w14:textId="77777777" w:rsidR="005F61C4" w:rsidRDefault="005F61C4" w:rsidP="001D07DC">
            <w:pPr>
              <w:rPr>
                <w:rFonts w:ascii="Times New Roman" w:hAnsi="Times New Roman" w:cs="Times New Roman"/>
                <w:sz w:val="20"/>
                <w:szCs w:val="20"/>
              </w:rPr>
            </w:pPr>
            <w:r>
              <w:rPr>
                <w:rFonts w:ascii="Times New Roman" w:hAnsi="Times New Roman" w:cs="Times New Roman"/>
                <w:b/>
                <w:bCs/>
                <w:sz w:val="20"/>
                <w:szCs w:val="20"/>
              </w:rPr>
              <w:t>Zdůvodnění</w:t>
            </w:r>
          </w:p>
        </w:tc>
      </w:tr>
      <w:tr w:rsidR="005F61C4" w14:paraId="6821EB9F" w14:textId="77777777" w:rsidTr="009F013A">
        <w:trPr>
          <w:trHeight w:val="340"/>
        </w:trPr>
        <w:tc>
          <w:tcPr>
            <w:tcW w:w="1428" w:type="dxa"/>
            <w:tcBorders>
              <w:top w:val="single" w:sz="4" w:space="0" w:color="auto"/>
              <w:left w:val="single" w:sz="4" w:space="0" w:color="auto"/>
              <w:bottom w:val="single" w:sz="4" w:space="0" w:color="auto"/>
              <w:right w:val="single" w:sz="4" w:space="0" w:color="auto"/>
            </w:tcBorders>
            <w:hideMark/>
          </w:tcPr>
          <w:p w14:paraId="1B7DD740" w14:textId="77777777" w:rsidR="005F61C4" w:rsidRDefault="005F61C4" w:rsidP="001D07DC">
            <w:pPr>
              <w:jc w:val="both"/>
              <w:rPr>
                <w:rFonts w:ascii="Times New Roman" w:hAnsi="Times New Roman" w:cs="Times New Roman"/>
                <w:sz w:val="20"/>
                <w:szCs w:val="20"/>
              </w:rPr>
            </w:pPr>
            <w:r>
              <w:rPr>
                <w:rFonts w:ascii="Times New Roman" w:hAnsi="Times New Roman" w:cs="Times New Roman"/>
                <w:sz w:val="20"/>
                <w:szCs w:val="20"/>
              </w:rPr>
              <w:t>SPS</w:t>
            </w:r>
          </w:p>
        </w:tc>
        <w:tc>
          <w:tcPr>
            <w:tcW w:w="5088" w:type="dxa"/>
            <w:tcBorders>
              <w:top w:val="single" w:sz="4" w:space="0" w:color="auto"/>
              <w:left w:val="single" w:sz="4" w:space="0" w:color="auto"/>
              <w:bottom w:val="single" w:sz="4" w:space="0" w:color="auto"/>
              <w:right w:val="single" w:sz="4" w:space="0" w:color="auto"/>
            </w:tcBorders>
            <w:hideMark/>
          </w:tcPr>
          <w:p w14:paraId="54E41FDF" w14:textId="71963653" w:rsidR="00BF4084" w:rsidRDefault="00BF4084" w:rsidP="00BF4084">
            <w:pPr>
              <w:jc w:val="both"/>
              <w:rPr>
                <w:rFonts w:ascii="Times New Roman" w:eastAsia="Calibri" w:hAnsi="Times New Roman" w:cs="Times New Roman"/>
                <w:b/>
                <w:bCs/>
                <w:sz w:val="20"/>
                <w:szCs w:val="20"/>
                <w:u w:val="single"/>
              </w:rPr>
            </w:pPr>
            <w:r>
              <w:rPr>
                <w:rFonts w:ascii="Times New Roman" w:eastAsia="Calibri" w:hAnsi="Times New Roman" w:cs="Times New Roman"/>
                <w:b/>
                <w:bCs/>
                <w:sz w:val="20"/>
                <w:szCs w:val="20"/>
                <w:u w:val="single"/>
              </w:rPr>
              <w:t xml:space="preserve">K </w:t>
            </w:r>
            <w:r w:rsidRPr="00BF4084">
              <w:rPr>
                <w:rFonts w:ascii="Times New Roman" w:eastAsia="Calibri" w:hAnsi="Times New Roman" w:cs="Times New Roman"/>
                <w:b/>
                <w:bCs/>
                <w:sz w:val="20"/>
                <w:szCs w:val="20"/>
                <w:u w:val="single"/>
              </w:rPr>
              <w:t xml:space="preserve">§ </w:t>
            </w:r>
            <w:proofErr w:type="gramStart"/>
            <w:r w:rsidRPr="00BF4084">
              <w:rPr>
                <w:rFonts w:ascii="Times New Roman" w:eastAsia="Calibri" w:hAnsi="Times New Roman" w:cs="Times New Roman"/>
                <w:b/>
                <w:bCs/>
                <w:sz w:val="20"/>
                <w:szCs w:val="20"/>
                <w:u w:val="single"/>
              </w:rPr>
              <w:t xml:space="preserve">246 </w:t>
            </w:r>
            <w:r>
              <w:rPr>
                <w:rFonts w:ascii="Times New Roman" w:eastAsia="Calibri" w:hAnsi="Times New Roman" w:cs="Times New Roman"/>
                <w:b/>
                <w:bCs/>
                <w:sz w:val="20"/>
                <w:szCs w:val="20"/>
                <w:u w:val="single"/>
              </w:rPr>
              <w:t xml:space="preserve"> </w:t>
            </w:r>
            <w:r w:rsidRPr="00BF4084">
              <w:rPr>
                <w:rFonts w:ascii="Times New Roman" w:eastAsia="Calibri" w:hAnsi="Times New Roman" w:cs="Times New Roman"/>
                <w:b/>
                <w:bCs/>
                <w:sz w:val="20"/>
                <w:szCs w:val="20"/>
                <w:u w:val="single"/>
              </w:rPr>
              <w:t>Zákaz</w:t>
            </w:r>
            <w:proofErr w:type="gramEnd"/>
            <w:r w:rsidRPr="00BF4084">
              <w:rPr>
                <w:rFonts w:ascii="Times New Roman" w:eastAsia="Calibri" w:hAnsi="Times New Roman" w:cs="Times New Roman"/>
                <w:b/>
                <w:bCs/>
                <w:sz w:val="20"/>
                <w:szCs w:val="20"/>
                <w:u w:val="single"/>
              </w:rPr>
              <w:t xml:space="preserve"> uzavření smlouvy</w:t>
            </w:r>
            <w:r>
              <w:rPr>
                <w:rFonts w:ascii="Times New Roman" w:eastAsia="Calibri" w:hAnsi="Times New Roman" w:cs="Times New Roman"/>
                <w:b/>
                <w:bCs/>
                <w:sz w:val="20"/>
                <w:szCs w:val="20"/>
                <w:u w:val="single"/>
              </w:rPr>
              <w:t>.</w:t>
            </w:r>
          </w:p>
          <w:p w14:paraId="5077B5E4" w14:textId="3EFCB1AE" w:rsidR="002C2FB4" w:rsidRDefault="002C2FB4" w:rsidP="00BF4084">
            <w:pPr>
              <w:jc w:val="both"/>
              <w:rPr>
                <w:rFonts w:ascii="Times New Roman" w:eastAsia="Calibri" w:hAnsi="Times New Roman" w:cs="Times New Roman"/>
                <w:sz w:val="20"/>
                <w:szCs w:val="20"/>
              </w:rPr>
            </w:pPr>
            <w:r>
              <w:rPr>
                <w:rFonts w:ascii="Times New Roman" w:eastAsia="Calibri" w:hAnsi="Times New Roman" w:cs="Times New Roman"/>
                <w:sz w:val="20"/>
                <w:szCs w:val="20"/>
              </w:rPr>
              <w:t>Návrh předpokládá zrušení druhého stupně správního dohledu s tím, že je určitým způsobem „nahradí“ soudní přezkum. S tím úzce souvisí skutečnost, že zákaz uzavření smlouvy se posouvá z roviny řízení před ÚOHS i na řízení před soudem – blokační lhůta je zachována do doby, než bude mít soud možnost rozhodnout o předběžném opatření.</w:t>
            </w:r>
          </w:p>
          <w:p w14:paraId="4EE853C0" w14:textId="68FA884F" w:rsidR="002C2FB4" w:rsidRDefault="002C2FB4" w:rsidP="00BF4084">
            <w:pPr>
              <w:jc w:val="both"/>
              <w:rPr>
                <w:rFonts w:ascii="Times New Roman" w:eastAsia="Calibri" w:hAnsi="Times New Roman" w:cs="Times New Roman"/>
                <w:sz w:val="20"/>
                <w:szCs w:val="20"/>
              </w:rPr>
            </w:pPr>
            <w:r>
              <w:rPr>
                <w:rFonts w:ascii="Times New Roman" w:eastAsia="Calibri" w:hAnsi="Times New Roman" w:cs="Times New Roman"/>
                <w:sz w:val="20"/>
                <w:szCs w:val="20"/>
              </w:rPr>
              <w:t>V této souvislosti se domníváme, že soudní agenda výrazněji naroste. Správní žalobu budou strany podávat v okamžiku, kdy smlouva pro veřejnou zakázku není uzavřena</w:t>
            </w:r>
            <w:r w:rsidR="00CA027E">
              <w:rPr>
                <w:rFonts w:ascii="Times New Roman" w:eastAsia="Calibri" w:hAnsi="Times New Roman" w:cs="Times New Roman"/>
                <w:sz w:val="20"/>
                <w:szCs w:val="20"/>
              </w:rPr>
              <w:t>,</w:t>
            </w:r>
            <w:r>
              <w:rPr>
                <w:rFonts w:ascii="Times New Roman" w:eastAsia="Calibri" w:hAnsi="Times New Roman" w:cs="Times New Roman"/>
                <w:sz w:val="20"/>
                <w:szCs w:val="20"/>
              </w:rPr>
              <w:t xml:space="preserve"> a u soudu se tedy bude možné stále ještě domáhat výsledku, který bude znamenat získání dané zakázky. </w:t>
            </w:r>
          </w:p>
          <w:p w14:paraId="50BF1982" w14:textId="4B7AFD9C" w:rsidR="002C2FB4" w:rsidRDefault="00CA027E" w:rsidP="00BF4084">
            <w:pPr>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Lhůty pro rozhodování soudu jsou však pořádkové, a tedy vcelku nevymahatelné.</w:t>
            </w:r>
          </w:p>
          <w:p w14:paraId="30828A07" w14:textId="77777777" w:rsidR="00CA027E" w:rsidRDefault="00CA027E" w:rsidP="00BF4084">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Funkčnost celého systému tedy bude záviset na aktivitě a efektivitě správních soudů. </w:t>
            </w:r>
          </w:p>
          <w:p w14:paraId="105D9152" w14:textId="77777777" w:rsidR="00CA027E" w:rsidRDefault="00CA027E" w:rsidP="00BF4084">
            <w:pPr>
              <w:jc w:val="both"/>
              <w:rPr>
                <w:rFonts w:ascii="Times New Roman" w:eastAsia="Calibri" w:hAnsi="Times New Roman" w:cs="Times New Roman"/>
                <w:sz w:val="20"/>
                <w:szCs w:val="20"/>
              </w:rPr>
            </w:pPr>
            <w:r>
              <w:rPr>
                <w:rFonts w:ascii="Times New Roman" w:eastAsia="Calibri" w:hAnsi="Times New Roman" w:cs="Times New Roman"/>
                <w:sz w:val="20"/>
                <w:szCs w:val="20"/>
              </w:rPr>
              <w:t>Proto je nutné zabezpečit jejich řádné fungování.</w:t>
            </w:r>
          </w:p>
          <w:p w14:paraId="3852B33E" w14:textId="0F0B0FD6" w:rsidR="00CA027E" w:rsidRDefault="00CA027E" w:rsidP="00BF4084">
            <w:pPr>
              <w:jc w:val="both"/>
              <w:rPr>
                <w:rFonts w:ascii="Times New Roman" w:eastAsia="Calibri" w:hAnsi="Times New Roman" w:cs="Times New Roman"/>
                <w:sz w:val="20"/>
                <w:szCs w:val="20"/>
              </w:rPr>
            </w:pPr>
            <w:r w:rsidRPr="00CA027E">
              <w:rPr>
                <w:rFonts w:ascii="Times New Roman" w:eastAsia="Calibri" w:hAnsi="Times New Roman" w:cs="Times New Roman"/>
                <w:b/>
                <w:bCs/>
                <w:sz w:val="20"/>
                <w:szCs w:val="20"/>
                <w:u w:val="single"/>
              </w:rPr>
              <w:t>Požadujeme tedy objasnit, jakým způsobem dojde k posílení správních soudů tak, aby se s novou agendou vypořádaly ve stanovených lhůtách a zároveň, aby nepoklesla kvalita rozhodování ve věci samé</w:t>
            </w:r>
            <w:r>
              <w:rPr>
                <w:rFonts w:ascii="Times New Roman" w:eastAsia="Calibri" w:hAnsi="Times New Roman" w:cs="Times New Roman"/>
                <w:sz w:val="20"/>
                <w:szCs w:val="20"/>
              </w:rPr>
              <w:t xml:space="preserve">. </w:t>
            </w:r>
          </w:p>
          <w:p w14:paraId="13BE3A88" w14:textId="366B4A5A" w:rsidR="005F61C4" w:rsidRPr="00E12EF1" w:rsidRDefault="005F61C4" w:rsidP="00E12EF1">
            <w:pPr>
              <w:jc w:val="both"/>
              <w:rPr>
                <w:rFonts w:ascii="Times New Roman" w:eastAsia="Calibri"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tcPr>
          <w:p w14:paraId="100F0B60" w14:textId="77777777" w:rsidR="00BF4084" w:rsidRDefault="00BF4084" w:rsidP="00BF4084">
            <w:pPr>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SPS je toho názoru, že změna systému dohledu nad veřejnými zakázkami ze správního dvojinstančního dohledu na správní jednoinstanční dohled s větším zapojením správních soudů je politickým rozhodnutím.</w:t>
            </w:r>
          </w:p>
          <w:p w14:paraId="2C342949" w14:textId="77777777" w:rsidR="00BF4084" w:rsidRDefault="00BF4084" w:rsidP="00BF4084">
            <w:pPr>
              <w:jc w:val="both"/>
              <w:rPr>
                <w:rFonts w:ascii="Times New Roman" w:eastAsia="Calibri" w:hAnsi="Times New Roman" w:cs="Times New Roman"/>
                <w:sz w:val="20"/>
                <w:szCs w:val="20"/>
              </w:rPr>
            </w:pPr>
            <w:r>
              <w:rPr>
                <w:rFonts w:ascii="Times New Roman" w:eastAsia="Calibri" w:hAnsi="Times New Roman" w:cs="Times New Roman"/>
                <w:sz w:val="20"/>
                <w:szCs w:val="20"/>
              </w:rPr>
              <w:t>Jako odborná organizace proto budeme v této chvíli komentovat pouze případné přímé dopady této změny s návrhy na jejich zmírnění.</w:t>
            </w:r>
          </w:p>
          <w:p w14:paraId="588753B7" w14:textId="5A533111" w:rsidR="00CA027E" w:rsidRDefault="00CA027E" w:rsidP="00BF4084">
            <w:pPr>
              <w:jc w:val="both"/>
              <w:rPr>
                <w:rFonts w:ascii="Times New Roman" w:eastAsia="Calibri" w:hAnsi="Times New Roman" w:cs="Times New Roman"/>
                <w:sz w:val="20"/>
                <w:szCs w:val="20"/>
              </w:rPr>
            </w:pPr>
            <w:r>
              <w:rPr>
                <w:rFonts w:ascii="Times New Roman" w:eastAsia="Calibri" w:hAnsi="Times New Roman" w:cs="Times New Roman"/>
                <w:sz w:val="20"/>
                <w:szCs w:val="20"/>
              </w:rPr>
              <w:t>Pokud k reformě dojde, je podle našeho názoru klíčové zajistit, aby soudy měly dostatečné kapacity na vyřizování zakázkových věcí ve stanovených lhůtách a věcně kvalitně.</w:t>
            </w:r>
          </w:p>
          <w:p w14:paraId="1F7004CF" w14:textId="3A0E784E" w:rsidR="00CA027E" w:rsidRDefault="00CA027E" w:rsidP="00BF4084">
            <w:pPr>
              <w:jc w:val="both"/>
              <w:rPr>
                <w:rFonts w:ascii="Times New Roman" w:eastAsia="Calibri" w:hAnsi="Times New Roman" w:cs="Times New Roman"/>
                <w:sz w:val="20"/>
                <w:szCs w:val="20"/>
              </w:rPr>
            </w:pPr>
            <w:r>
              <w:rPr>
                <w:rFonts w:ascii="Times New Roman" w:eastAsia="Calibri" w:hAnsi="Times New Roman" w:cs="Times New Roman"/>
                <w:sz w:val="20"/>
                <w:szCs w:val="20"/>
              </w:rPr>
              <w:t>Proto by mělo být objasněno, jak budou soudy posíleny.</w:t>
            </w:r>
          </w:p>
          <w:p w14:paraId="0487C875" w14:textId="02D3BD3A" w:rsidR="005F61C4" w:rsidRPr="007A69D6" w:rsidRDefault="005F61C4" w:rsidP="007A69D6">
            <w:pPr>
              <w:jc w:val="both"/>
              <w:rPr>
                <w:rFonts w:ascii="Times New Roman" w:eastAsia="Calibri" w:hAnsi="Times New Roman" w:cs="Times New Roman"/>
                <w:sz w:val="20"/>
                <w:szCs w:val="20"/>
              </w:rPr>
            </w:pPr>
          </w:p>
        </w:tc>
      </w:tr>
      <w:tr w:rsidR="00CA027E" w14:paraId="6EB6C402" w14:textId="77777777" w:rsidTr="009F013A">
        <w:trPr>
          <w:trHeight w:val="340"/>
        </w:trPr>
        <w:tc>
          <w:tcPr>
            <w:tcW w:w="1428" w:type="dxa"/>
            <w:tcBorders>
              <w:top w:val="single" w:sz="4" w:space="0" w:color="auto"/>
              <w:left w:val="single" w:sz="4" w:space="0" w:color="auto"/>
              <w:bottom w:val="single" w:sz="4" w:space="0" w:color="auto"/>
              <w:right w:val="single" w:sz="4" w:space="0" w:color="auto"/>
            </w:tcBorders>
          </w:tcPr>
          <w:p w14:paraId="32839684" w14:textId="34B24983" w:rsidR="00CA027E" w:rsidRDefault="00CA027E" w:rsidP="001D07DC">
            <w:pPr>
              <w:jc w:val="both"/>
              <w:rPr>
                <w:rFonts w:ascii="Times New Roman" w:hAnsi="Times New Roman" w:cs="Times New Roman"/>
                <w:sz w:val="20"/>
                <w:szCs w:val="20"/>
              </w:rPr>
            </w:pPr>
            <w:r>
              <w:rPr>
                <w:rFonts w:ascii="Times New Roman" w:hAnsi="Times New Roman" w:cs="Times New Roman"/>
                <w:sz w:val="20"/>
                <w:szCs w:val="20"/>
              </w:rPr>
              <w:t>SPS</w:t>
            </w:r>
          </w:p>
        </w:tc>
        <w:tc>
          <w:tcPr>
            <w:tcW w:w="5088" w:type="dxa"/>
            <w:tcBorders>
              <w:top w:val="single" w:sz="4" w:space="0" w:color="auto"/>
              <w:left w:val="single" w:sz="4" w:space="0" w:color="auto"/>
              <w:bottom w:val="single" w:sz="4" w:space="0" w:color="auto"/>
              <w:right w:val="single" w:sz="4" w:space="0" w:color="auto"/>
            </w:tcBorders>
          </w:tcPr>
          <w:p w14:paraId="12E3859A" w14:textId="77777777" w:rsidR="00CA027E" w:rsidRDefault="00CA027E" w:rsidP="00BF4084">
            <w:pPr>
              <w:jc w:val="both"/>
              <w:rPr>
                <w:rFonts w:ascii="Times New Roman" w:eastAsia="Calibri" w:hAnsi="Times New Roman" w:cs="Times New Roman"/>
                <w:b/>
                <w:bCs/>
                <w:sz w:val="20"/>
                <w:szCs w:val="20"/>
                <w:u w:val="single"/>
              </w:rPr>
            </w:pPr>
            <w:r>
              <w:rPr>
                <w:rFonts w:ascii="Times New Roman" w:eastAsia="Calibri" w:hAnsi="Times New Roman" w:cs="Times New Roman"/>
                <w:b/>
                <w:bCs/>
                <w:sz w:val="20"/>
                <w:szCs w:val="20"/>
                <w:u w:val="single"/>
              </w:rPr>
              <w:t>K § 248a</w:t>
            </w:r>
          </w:p>
          <w:p w14:paraId="7D321E97" w14:textId="091BC642" w:rsidR="00CA027E" w:rsidRPr="00CA027E" w:rsidRDefault="00CA027E" w:rsidP="00BF4084">
            <w:pPr>
              <w:jc w:val="both"/>
              <w:rPr>
                <w:rFonts w:ascii="Times New Roman" w:eastAsia="Calibri" w:hAnsi="Times New Roman" w:cs="Times New Roman"/>
                <w:sz w:val="20"/>
                <w:szCs w:val="20"/>
              </w:rPr>
            </w:pPr>
            <w:r w:rsidRPr="0032738A">
              <w:rPr>
                <w:rFonts w:ascii="Times New Roman" w:eastAsia="Calibri" w:hAnsi="Times New Roman" w:cs="Times New Roman"/>
                <w:b/>
                <w:bCs/>
                <w:sz w:val="20"/>
                <w:szCs w:val="20"/>
                <w:u w:val="single"/>
              </w:rPr>
              <w:t>Navrhujeme vypustit úpravu rozhodování Rady v plénu</w:t>
            </w:r>
            <w:r>
              <w:rPr>
                <w:rFonts w:ascii="Times New Roman" w:eastAsia="Calibri" w:hAnsi="Times New Roman" w:cs="Times New Roman"/>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95227FC" w14:textId="77777777" w:rsidR="00CA027E" w:rsidRDefault="00CA027E" w:rsidP="00BF4084">
            <w:pPr>
              <w:jc w:val="both"/>
              <w:rPr>
                <w:rFonts w:ascii="Times New Roman" w:eastAsia="Calibri" w:hAnsi="Times New Roman" w:cs="Times New Roman"/>
                <w:sz w:val="20"/>
                <w:szCs w:val="20"/>
              </w:rPr>
            </w:pPr>
            <w:r w:rsidRPr="00CA027E">
              <w:rPr>
                <w:rFonts w:ascii="Times New Roman" w:eastAsia="Calibri" w:hAnsi="Times New Roman" w:cs="Times New Roman"/>
                <w:sz w:val="20"/>
                <w:szCs w:val="20"/>
              </w:rPr>
              <w:t>Máme za to, že úprava postupování věcí plénu je značně nepřehledná</w:t>
            </w:r>
            <w:r>
              <w:rPr>
                <w:rFonts w:ascii="Times New Roman" w:eastAsia="Calibri" w:hAnsi="Times New Roman" w:cs="Times New Roman"/>
                <w:sz w:val="20"/>
                <w:szCs w:val="20"/>
              </w:rPr>
              <w:t xml:space="preserve"> a bude v řízení působit průtahy.</w:t>
            </w:r>
          </w:p>
          <w:p w14:paraId="30F163CE" w14:textId="33688945" w:rsidR="00CA027E" w:rsidRDefault="00CA027E" w:rsidP="00BF4084">
            <w:pPr>
              <w:jc w:val="both"/>
              <w:rPr>
                <w:rFonts w:ascii="Times New Roman" w:eastAsia="Calibri" w:hAnsi="Times New Roman" w:cs="Times New Roman"/>
                <w:sz w:val="20"/>
                <w:szCs w:val="20"/>
              </w:rPr>
            </w:pPr>
            <w:r>
              <w:rPr>
                <w:rFonts w:ascii="Times New Roman" w:eastAsia="Calibri" w:hAnsi="Times New Roman" w:cs="Times New Roman"/>
                <w:sz w:val="20"/>
                <w:szCs w:val="20"/>
              </w:rPr>
              <w:t>Navíc zřejmě nejde o věc „nárokovou“, tedy účastníci řízení se nemohou rozhodování v plénu domáhat, ani proti němu brojit.</w:t>
            </w:r>
            <w:r w:rsidR="0032738A">
              <w:rPr>
                <w:rFonts w:ascii="Times New Roman" w:eastAsia="Calibri" w:hAnsi="Times New Roman" w:cs="Times New Roman"/>
                <w:sz w:val="20"/>
                <w:szCs w:val="20"/>
              </w:rPr>
              <w:t xml:space="preserve"> Bude na rozhodnutí každého senátu, zda věc plénu postoupí. Může tak dojít k tomu, že některé senáty se takto budou „zbavovat“ nepohodlných případů nebo naopak jiné senáty nebudou věci plénu postupovat, přestože je to zákonem indikováno. Hrozí i různé rozepře mezi plénem a senáty a jejich vzájemný ping-pong.</w:t>
            </w:r>
          </w:p>
          <w:p w14:paraId="51FA188D" w14:textId="77777777" w:rsidR="00CA027E" w:rsidRDefault="00CA027E" w:rsidP="00BF4084">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Chápeme snahu o sjednocování rozhodovací praxe. Nicméně </w:t>
            </w:r>
            <w:r w:rsidR="0032738A">
              <w:rPr>
                <w:rFonts w:ascii="Times New Roman" w:eastAsia="Calibri" w:hAnsi="Times New Roman" w:cs="Times New Roman"/>
                <w:sz w:val="20"/>
                <w:szCs w:val="20"/>
              </w:rPr>
              <w:t>jsme toho názoru, že popsaná pravidla nepovedou pouze k tomuto cíli, ale mohou celý proces spíše zkomplikovat.</w:t>
            </w:r>
          </w:p>
          <w:p w14:paraId="06CC827E" w14:textId="7BB25B3F" w:rsidR="0032738A" w:rsidRDefault="0032738A" w:rsidP="00BF4084">
            <w:pPr>
              <w:jc w:val="both"/>
              <w:rPr>
                <w:rFonts w:ascii="Times New Roman" w:eastAsia="Calibri" w:hAnsi="Times New Roman" w:cs="Times New Roman"/>
                <w:sz w:val="20"/>
                <w:szCs w:val="20"/>
              </w:rPr>
            </w:pPr>
            <w:r>
              <w:rPr>
                <w:rFonts w:ascii="Times New Roman" w:eastAsia="Calibri" w:hAnsi="Times New Roman" w:cs="Times New Roman"/>
                <w:sz w:val="20"/>
                <w:szCs w:val="20"/>
              </w:rPr>
              <w:t>Proto navrhujeme postupování živých věcí plénu z návrhu vypustit.</w:t>
            </w:r>
          </w:p>
        </w:tc>
      </w:tr>
      <w:tr w:rsidR="00E12EF1" w14:paraId="70811DB0" w14:textId="77777777" w:rsidTr="009F013A">
        <w:trPr>
          <w:trHeight w:val="340"/>
        </w:trPr>
        <w:tc>
          <w:tcPr>
            <w:tcW w:w="1428" w:type="dxa"/>
            <w:tcBorders>
              <w:top w:val="single" w:sz="4" w:space="0" w:color="auto"/>
              <w:left w:val="single" w:sz="4" w:space="0" w:color="auto"/>
              <w:bottom w:val="single" w:sz="4" w:space="0" w:color="auto"/>
              <w:right w:val="single" w:sz="4" w:space="0" w:color="auto"/>
            </w:tcBorders>
          </w:tcPr>
          <w:p w14:paraId="221849F4" w14:textId="621867C5" w:rsidR="00E12EF1" w:rsidRDefault="007A69D6" w:rsidP="001D07DC">
            <w:pPr>
              <w:jc w:val="both"/>
              <w:rPr>
                <w:rFonts w:ascii="Times New Roman" w:hAnsi="Times New Roman" w:cs="Times New Roman"/>
                <w:sz w:val="20"/>
                <w:szCs w:val="20"/>
              </w:rPr>
            </w:pPr>
            <w:r>
              <w:rPr>
                <w:rFonts w:ascii="Times New Roman" w:hAnsi="Times New Roman" w:cs="Times New Roman"/>
                <w:sz w:val="20"/>
                <w:szCs w:val="20"/>
              </w:rPr>
              <w:t>SPS</w:t>
            </w:r>
          </w:p>
        </w:tc>
        <w:tc>
          <w:tcPr>
            <w:tcW w:w="5088" w:type="dxa"/>
            <w:tcBorders>
              <w:top w:val="single" w:sz="4" w:space="0" w:color="auto"/>
              <w:left w:val="single" w:sz="4" w:space="0" w:color="auto"/>
              <w:bottom w:val="single" w:sz="4" w:space="0" w:color="auto"/>
              <w:right w:val="single" w:sz="4" w:space="0" w:color="auto"/>
            </w:tcBorders>
          </w:tcPr>
          <w:p w14:paraId="1054F587" w14:textId="77777777" w:rsidR="007A69D6" w:rsidRDefault="0032738A" w:rsidP="00E12EF1">
            <w:pPr>
              <w:jc w:val="both"/>
              <w:rPr>
                <w:rFonts w:ascii="Times New Roman" w:eastAsia="Calibri" w:hAnsi="Times New Roman" w:cs="Times New Roman"/>
                <w:sz w:val="20"/>
                <w:szCs w:val="20"/>
              </w:rPr>
            </w:pPr>
            <w:r>
              <w:rPr>
                <w:rFonts w:ascii="Times New Roman" w:eastAsia="Calibri" w:hAnsi="Times New Roman" w:cs="Times New Roman"/>
                <w:sz w:val="20"/>
                <w:szCs w:val="20"/>
              </w:rPr>
              <w:t>§ 251 odst. 1</w:t>
            </w:r>
          </w:p>
          <w:p w14:paraId="05B9ABF9" w14:textId="3614B943" w:rsidR="0032738A" w:rsidRDefault="0032738A" w:rsidP="00E12EF1">
            <w:pPr>
              <w:jc w:val="both"/>
              <w:rPr>
                <w:rFonts w:ascii="Times New Roman" w:eastAsia="Calibri" w:hAnsi="Times New Roman" w:cs="Times New Roman"/>
                <w:b/>
                <w:bCs/>
                <w:sz w:val="20"/>
                <w:szCs w:val="20"/>
                <w:u w:val="single"/>
              </w:rPr>
            </w:pPr>
            <w:r>
              <w:rPr>
                <w:rFonts w:ascii="Times New Roman" w:eastAsia="Calibri" w:hAnsi="Times New Roman" w:cs="Times New Roman"/>
                <w:b/>
                <w:bCs/>
                <w:sz w:val="20"/>
                <w:szCs w:val="20"/>
                <w:u w:val="single"/>
              </w:rPr>
              <w:t>Navrženou úpravu navrhujeme vypustit</w:t>
            </w:r>
            <w:r w:rsidR="002710B1">
              <w:rPr>
                <w:rFonts w:ascii="Times New Roman" w:eastAsia="Calibri" w:hAnsi="Times New Roman" w:cs="Times New Roman"/>
                <w:b/>
                <w:bCs/>
                <w:sz w:val="20"/>
                <w:szCs w:val="20"/>
                <w:u w:val="single"/>
              </w:rPr>
              <w:t>, tedy nechat v původním znění</w:t>
            </w:r>
            <w:r>
              <w:rPr>
                <w:rFonts w:ascii="Times New Roman" w:eastAsia="Calibri" w:hAnsi="Times New Roman" w:cs="Times New Roman"/>
                <w:b/>
                <w:bCs/>
                <w:sz w:val="20"/>
                <w:szCs w:val="20"/>
                <w:u w:val="single"/>
              </w:rPr>
              <w:t>.</w:t>
            </w:r>
          </w:p>
          <w:p w14:paraId="18D9DD80" w14:textId="51B8E0DF" w:rsidR="002710B1" w:rsidRPr="002710B1" w:rsidRDefault="002710B1" w:rsidP="00E12EF1">
            <w:pPr>
              <w:jc w:val="both"/>
              <w:rPr>
                <w:rFonts w:ascii="Times New Roman" w:eastAsia="Calibri" w:hAnsi="Times New Roman" w:cs="Times New Roman"/>
                <w:sz w:val="20"/>
                <w:szCs w:val="20"/>
              </w:rPr>
            </w:pPr>
            <w:r w:rsidRPr="002710B1">
              <w:rPr>
                <w:rFonts w:ascii="Times New Roman" w:eastAsia="Calibri" w:hAnsi="Times New Roman" w:cs="Times New Roman"/>
                <w:sz w:val="20"/>
                <w:szCs w:val="20"/>
              </w:rPr>
              <w:t xml:space="preserve">Vypuštění je potom potřeba promítnout i do dalších ustanovení zákona např. § 252 odst. 4 </w:t>
            </w:r>
          </w:p>
        </w:tc>
        <w:tc>
          <w:tcPr>
            <w:tcW w:w="7513" w:type="dxa"/>
            <w:tcBorders>
              <w:top w:val="single" w:sz="4" w:space="0" w:color="auto"/>
              <w:left w:val="single" w:sz="4" w:space="0" w:color="auto"/>
              <w:bottom w:val="single" w:sz="4" w:space="0" w:color="auto"/>
              <w:right w:val="single" w:sz="4" w:space="0" w:color="auto"/>
            </w:tcBorders>
          </w:tcPr>
          <w:p w14:paraId="752EA0D5" w14:textId="030B949F" w:rsidR="00E374D3" w:rsidRDefault="0032738A" w:rsidP="005F61C4">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Za prvé nesouhlasíme s rozšiřováním náležitostí návrhu, jejichž nedodržení povede </w:t>
            </w:r>
            <w:r w:rsidR="002710B1">
              <w:rPr>
                <w:rFonts w:ascii="Times New Roman" w:eastAsia="Calibri" w:hAnsi="Times New Roman" w:cs="Times New Roman"/>
                <w:sz w:val="20"/>
                <w:szCs w:val="20"/>
              </w:rPr>
              <w:t xml:space="preserve">automaticky </w:t>
            </w:r>
            <w:r>
              <w:rPr>
                <w:rFonts w:ascii="Times New Roman" w:eastAsia="Calibri" w:hAnsi="Times New Roman" w:cs="Times New Roman"/>
                <w:sz w:val="20"/>
                <w:szCs w:val="20"/>
              </w:rPr>
              <w:t>k</w:t>
            </w:r>
            <w:r w:rsidR="002710B1">
              <w:rPr>
                <w:rFonts w:ascii="Times New Roman" w:eastAsia="Calibri" w:hAnsi="Times New Roman" w:cs="Times New Roman"/>
                <w:sz w:val="20"/>
                <w:szCs w:val="20"/>
              </w:rPr>
              <w:t> zastavení řízení a pro navrhovatele ke ztrátě možnosti požadovat přezkoumání postupu zadavatele</w:t>
            </w:r>
            <w:r>
              <w:rPr>
                <w:rFonts w:ascii="Times New Roman" w:eastAsia="Calibri" w:hAnsi="Times New Roman" w:cs="Times New Roman"/>
                <w:sz w:val="20"/>
                <w:szCs w:val="20"/>
              </w:rPr>
              <w:t>. Námitky i rozhodnutí o nich jsou součástí dokumentace veřejné zakázky a Úřadu je tak zpřístupní zadavatel. Není nezbytné, aby je duplicitně dokládal navrhovatel pod sankcí ztráty možnosti přezkumu.</w:t>
            </w:r>
          </w:p>
          <w:p w14:paraId="79133264" w14:textId="7565E007" w:rsidR="0032738A" w:rsidRDefault="0032738A" w:rsidP="005F61C4">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Za druhé nesouhlasíme s tím, aby Úřad nemohl vyzvat k doplnění či opravě návrhu. V návrhu může dojít k drobným formálním chybám například v plné moci </w:t>
            </w:r>
            <w:r w:rsidR="002710B1">
              <w:rPr>
                <w:rFonts w:ascii="Times New Roman" w:eastAsia="Calibri" w:hAnsi="Times New Roman" w:cs="Times New Roman"/>
                <w:sz w:val="20"/>
                <w:szCs w:val="20"/>
              </w:rPr>
              <w:t>nebo označení účastníků atd. Každá taková drobnost by nově musela vést k zastavení řízení a opět s ohledem na lhůty by navrhovat v podstatě ztratil možnost požadovat přezkum úkonů zadavatele.</w:t>
            </w:r>
          </w:p>
        </w:tc>
      </w:tr>
      <w:tr w:rsidR="005F61C4" w14:paraId="0707CC84" w14:textId="77777777" w:rsidTr="009F013A">
        <w:trPr>
          <w:trHeight w:val="340"/>
        </w:trPr>
        <w:tc>
          <w:tcPr>
            <w:tcW w:w="1428" w:type="dxa"/>
            <w:tcBorders>
              <w:top w:val="single" w:sz="4" w:space="0" w:color="auto"/>
              <w:left w:val="single" w:sz="4" w:space="0" w:color="auto"/>
              <w:bottom w:val="single" w:sz="4" w:space="0" w:color="auto"/>
              <w:right w:val="single" w:sz="4" w:space="0" w:color="auto"/>
            </w:tcBorders>
          </w:tcPr>
          <w:p w14:paraId="3715D5D2" w14:textId="4E750C0B" w:rsidR="005F61C4" w:rsidRDefault="002A2FC9" w:rsidP="001D07DC">
            <w:pPr>
              <w:jc w:val="both"/>
              <w:rPr>
                <w:rFonts w:ascii="Times New Roman" w:hAnsi="Times New Roman" w:cs="Times New Roman"/>
                <w:sz w:val="20"/>
                <w:szCs w:val="20"/>
              </w:rPr>
            </w:pPr>
            <w:r>
              <w:rPr>
                <w:rFonts w:ascii="Times New Roman" w:hAnsi="Times New Roman" w:cs="Times New Roman"/>
                <w:sz w:val="20"/>
                <w:szCs w:val="20"/>
              </w:rPr>
              <w:lastRenderedPageBreak/>
              <w:t>SPS</w:t>
            </w:r>
          </w:p>
        </w:tc>
        <w:tc>
          <w:tcPr>
            <w:tcW w:w="5088" w:type="dxa"/>
            <w:tcBorders>
              <w:top w:val="single" w:sz="4" w:space="0" w:color="auto"/>
              <w:left w:val="single" w:sz="4" w:space="0" w:color="auto"/>
              <w:bottom w:val="single" w:sz="4" w:space="0" w:color="auto"/>
              <w:right w:val="single" w:sz="4" w:space="0" w:color="auto"/>
            </w:tcBorders>
          </w:tcPr>
          <w:p w14:paraId="0DCE5EA1" w14:textId="41122118" w:rsidR="00E374D3" w:rsidRDefault="002710B1" w:rsidP="00E374D3">
            <w:pPr>
              <w:jc w:val="both"/>
              <w:rPr>
                <w:rFonts w:ascii="Times New Roman" w:eastAsia="Calibri" w:hAnsi="Times New Roman" w:cs="Times New Roman"/>
                <w:sz w:val="20"/>
                <w:szCs w:val="20"/>
              </w:rPr>
            </w:pPr>
            <w:r>
              <w:rPr>
                <w:rFonts w:ascii="Times New Roman" w:eastAsia="Calibri" w:hAnsi="Times New Roman" w:cs="Times New Roman"/>
                <w:sz w:val="20"/>
                <w:szCs w:val="20"/>
              </w:rPr>
              <w:t>§ 251 odst. 4 a 5</w:t>
            </w:r>
          </w:p>
          <w:p w14:paraId="4481344A" w14:textId="77777777" w:rsidR="002710B1" w:rsidRDefault="002710B1" w:rsidP="00E374D3">
            <w:pPr>
              <w:jc w:val="both"/>
              <w:rPr>
                <w:rFonts w:ascii="Times New Roman" w:eastAsia="Calibri" w:hAnsi="Times New Roman" w:cs="Times New Roman"/>
                <w:sz w:val="20"/>
                <w:szCs w:val="20"/>
              </w:rPr>
            </w:pPr>
            <w:r>
              <w:rPr>
                <w:rFonts w:ascii="Times New Roman" w:eastAsia="Calibri" w:hAnsi="Times New Roman" w:cs="Times New Roman"/>
                <w:sz w:val="20"/>
                <w:szCs w:val="20"/>
              </w:rPr>
              <w:t>Nesouhlasíme se striktním omezením navrhovatele ohledně navrhování důkazů.</w:t>
            </w:r>
          </w:p>
          <w:p w14:paraId="4B973207" w14:textId="45C18DEA" w:rsidR="00CF65EF" w:rsidRDefault="00CF65EF" w:rsidP="00E374D3">
            <w:pPr>
              <w:jc w:val="both"/>
              <w:rPr>
                <w:rFonts w:ascii="Times New Roman" w:eastAsia="Calibri" w:hAnsi="Times New Roman" w:cs="Times New Roman"/>
                <w:sz w:val="20"/>
                <w:szCs w:val="20"/>
              </w:rPr>
            </w:pPr>
            <w:r>
              <w:rPr>
                <w:rFonts w:ascii="Times New Roman" w:eastAsia="Calibri" w:hAnsi="Times New Roman" w:cs="Times New Roman"/>
                <w:sz w:val="20"/>
                <w:szCs w:val="20"/>
              </w:rPr>
              <w:t>Omezení navrhujeme vypustit, tak aby byla zachována současná úprava.</w:t>
            </w:r>
          </w:p>
          <w:p w14:paraId="5BB8A2DE" w14:textId="36EBF4EB" w:rsidR="005F61C4" w:rsidRPr="005F61C4" w:rsidRDefault="005F61C4" w:rsidP="00CF65EF">
            <w:pPr>
              <w:jc w:val="both"/>
              <w:rPr>
                <w:rFonts w:ascii="Times New Roman" w:eastAsia="Calibri"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tcPr>
          <w:p w14:paraId="3270C876" w14:textId="77777777" w:rsidR="00CF65EF" w:rsidRDefault="00CF65EF" w:rsidP="00CF65EF">
            <w:pPr>
              <w:jc w:val="both"/>
              <w:rPr>
                <w:rFonts w:ascii="Times New Roman" w:eastAsia="Calibri" w:hAnsi="Times New Roman" w:cs="Times New Roman"/>
                <w:sz w:val="20"/>
                <w:szCs w:val="20"/>
              </w:rPr>
            </w:pPr>
            <w:r>
              <w:rPr>
                <w:rFonts w:ascii="Times New Roman" w:eastAsia="Calibri" w:hAnsi="Times New Roman" w:cs="Times New Roman"/>
                <w:sz w:val="20"/>
                <w:szCs w:val="20"/>
              </w:rPr>
              <w:t>Navrhovatel by primárně musel důkazy navrhnout a připojit k návrhu. Poté by mohl navrhovat a předkládat pouze takové důkazy, které zpochybňují věrohodnost tvrzení jiného účastníka nebo které nemohl uplatnit dříve.</w:t>
            </w:r>
          </w:p>
          <w:p w14:paraId="2BC712BD" w14:textId="77777777" w:rsidR="00CF65EF" w:rsidRDefault="00CF65EF" w:rsidP="00CF65EF">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 takové důkazy by však bylo možné uplatnit </w:t>
            </w:r>
            <w:r w:rsidRPr="002710B1">
              <w:rPr>
                <w:rFonts w:ascii="Times New Roman" w:eastAsia="Calibri" w:hAnsi="Times New Roman" w:cs="Times New Roman"/>
                <w:sz w:val="20"/>
                <w:szCs w:val="20"/>
              </w:rPr>
              <w:t>nejpozději při ústním jednání nebo do 3 pracovních dnů od písemného sdělení předběžného názoru</w:t>
            </w:r>
            <w:r>
              <w:rPr>
                <w:rFonts w:ascii="Times New Roman" w:eastAsia="Calibri" w:hAnsi="Times New Roman" w:cs="Times New Roman"/>
                <w:sz w:val="20"/>
                <w:szCs w:val="20"/>
              </w:rPr>
              <w:t>.</w:t>
            </w:r>
          </w:p>
          <w:p w14:paraId="4B4B5B7D" w14:textId="62CDEB2D" w:rsidR="007E4BE7" w:rsidRDefault="00CF65EF" w:rsidP="002A2FC9">
            <w:pPr>
              <w:jc w:val="both"/>
              <w:rPr>
                <w:rFonts w:ascii="Times New Roman" w:eastAsia="Calibri" w:hAnsi="Times New Roman" w:cs="Times New Roman"/>
                <w:sz w:val="20"/>
                <w:szCs w:val="20"/>
              </w:rPr>
            </w:pPr>
            <w:r>
              <w:rPr>
                <w:rFonts w:ascii="Times New Roman" w:eastAsia="Calibri" w:hAnsi="Times New Roman" w:cs="Times New Roman"/>
                <w:sz w:val="20"/>
                <w:szCs w:val="20"/>
              </w:rPr>
              <w:t>Primárně máme za to, že dodavatel, který je vždy navrhovatelem, je oproti zadavateli a Úřadu značně znevýhodněn. Dodavateli není přístupná dokumentace veřejné zakázky, dodavatel nemá přístup k ostatním nabídkám ani dokladům, které poskytla konkurence například k prokázání kvalifikace a nejsou mu známy ani úvahy a podklady zadavatele, které vedly ke stanovení zadávacích podmínek, k uplatnění jeho postupů při hodnocení atd.</w:t>
            </w:r>
          </w:p>
          <w:p w14:paraId="4ACBE8A4" w14:textId="261B9D55" w:rsidR="00CF65EF" w:rsidRDefault="00CF65EF" w:rsidP="002A2FC9">
            <w:pPr>
              <w:jc w:val="both"/>
              <w:rPr>
                <w:rFonts w:ascii="Times New Roman" w:eastAsia="Calibri" w:hAnsi="Times New Roman" w:cs="Times New Roman"/>
                <w:sz w:val="20"/>
                <w:szCs w:val="20"/>
              </w:rPr>
            </w:pPr>
            <w:r>
              <w:rPr>
                <w:rFonts w:ascii="Times New Roman" w:eastAsia="Calibri" w:hAnsi="Times New Roman" w:cs="Times New Roman"/>
                <w:sz w:val="20"/>
                <w:szCs w:val="20"/>
              </w:rPr>
              <w:t>Dodavatel nebude schopen k návrhu relevantní důkazy připojit. Navíc i u těch důkazů, které je dodavatel schopen si opatřit, je lhůta pro jejich zpracování zcela nedostatečná. Za 10 dní, které dodavatel na podání návrhu má, není dodavatel schopen nechat si zpracovat expertní posouzení relevantních otázek natož pak například znalecké posudky nebo průzkumy trhu.</w:t>
            </w:r>
          </w:p>
          <w:p w14:paraId="2F7A9C99" w14:textId="55235339" w:rsidR="00CF65EF" w:rsidRDefault="00CF65EF" w:rsidP="002A2FC9">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Pokud dodavatel důkazy </w:t>
            </w:r>
            <w:r w:rsidR="00582E09">
              <w:rPr>
                <w:rFonts w:ascii="Times New Roman" w:eastAsia="Calibri" w:hAnsi="Times New Roman" w:cs="Times New Roman"/>
                <w:sz w:val="20"/>
                <w:szCs w:val="20"/>
              </w:rPr>
              <w:t xml:space="preserve">a tvrzení k návrhu </w:t>
            </w:r>
            <w:r>
              <w:rPr>
                <w:rFonts w:ascii="Times New Roman" w:eastAsia="Calibri" w:hAnsi="Times New Roman" w:cs="Times New Roman"/>
                <w:sz w:val="20"/>
                <w:szCs w:val="20"/>
              </w:rPr>
              <w:t>nepřipojí, může dále už pouze reagovat na to, co předloží jiný účastník řízení, a to pouze co se</w:t>
            </w:r>
            <w:r w:rsidR="00582E09">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týče věrohodnosti </w:t>
            </w:r>
            <w:r w:rsidR="00582E09">
              <w:rPr>
                <w:rFonts w:ascii="Times New Roman" w:eastAsia="Calibri" w:hAnsi="Times New Roman" w:cs="Times New Roman"/>
                <w:sz w:val="20"/>
                <w:szCs w:val="20"/>
              </w:rPr>
              <w:t>takto předložených</w:t>
            </w:r>
            <w:r>
              <w:rPr>
                <w:rFonts w:ascii="Times New Roman" w:eastAsia="Calibri" w:hAnsi="Times New Roman" w:cs="Times New Roman"/>
                <w:sz w:val="20"/>
                <w:szCs w:val="20"/>
              </w:rPr>
              <w:t xml:space="preserve"> důkazů</w:t>
            </w:r>
            <w:r w:rsidR="00582E09">
              <w:rPr>
                <w:rFonts w:ascii="Times New Roman" w:eastAsia="Calibri" w:hAnsi="Times New Roman" w:cs="Times New Roman"/>
                <w:sz w:val="20"/>
                <w:szCs w:val="20"/>
              </w:rPr>
              <w:t xml:space="preserve"> a tvrzení</w:t>
            </w:r>
            <w:r>
              <w:rPr>
                <w:rFonts w:ascii="Times New Roman" w:eastAsia="Calibri" w:hAnsi="Times New Roman" w:cs="Times New Roman"/>
                <w:sz w:val="20"/>
                <w:szCs w:val="20"/>
              </w:rPr>
              <w:t xml:space="preserve">. </w:t>
            </w:r>
            <w:r w:rsidR="00582E09">
              <w:rPr>
                <w:rFonts w:ascii="Times New Roman" w:eastAsia="Calibri" w:hAnsi="Times New Roman" w:cs="Times New Roman"/>
                <w:sz w:val="20"/>
                <w:szCs w:val="20"/>
              </w:rPr>
              <w:t>Dodavatel tak z</w:t>
            </w:r>
            <w:r>
              <w:rPr>
                <w:rFonts w:ascii="Times New Roman" w:eastAsia="Calibri" w:hAnsi="Times New Roman" w:cs="Times New Roman"/>
                <w:sz w:val="20"/>
                <w:szCs w:val="20"/>
              </w:rPr>
              <w:t xml:space="preserve">trácí </w:t>
            </w:r>
            <w:r w:rsidR="00582E09">
              <w:rPr>
                <w:rFonts w:ascii="Times New Roman" w:eastAsia="Calibri" w:hAnsi="Times New Roman" w:cs="Times New Roman"/>
                <w:sz w:val="20"/>
                <w:szCs w:val="20"/>
              </w:rPr>
              <w:t>zcela</w:t>
            </w:r>
            <w:r>
              <w:rPr>
                <w:rFonts w:ascii="Times New Roman" w:eastAsia="Calibri" w:hAnsi="Times New Roman" w:cs="Times New Roman"/>
                <w:sz w:val="20"/>
                <w:szCs w:val="20"/>
              </w:rPr>
              <w:t xml:space="preserve"> možnost reagovat například na důkazy, které si obstará Úřad</w:t>
            </w:r>
            <w:r w:rsidR="00582E09">
              <w:rPr>
                <w:rFonts w:ascii="Times New Roman" w:eastAsia="Calibri" w:hAnsi="Times New Roman" w:cs="Times New Roman"/>
                <w:sz w:val="20"/>
                <w:szCs w:val="20"/>
              </w:rPr>
              <w:t xml:space="preserve"> (není účastníkem řízení)</w:t>
            </w:r>
            <w:r>
              <w:rPr>
                <w:rFonts w:ascii="Times New Roman" w:eastAsia="Calibri" w:hAnsi="Times New Roman" w:cs="Times New Roman"/>
                <w:sz w:val="20"/>
                <w:szCs w:val="20"/>
              </w:rPr>
              <w:t xml:space="preserve">. </w:t>
            </w:r>
            <w:r w:rsidR="00582E09">
              <w:rPr>
                <w:rFonts w:ascii="Times New Roman" w:eastAsia="Calibri" w:hAnsi="Times New Roman" w:cs="Times New Roman"/>
                <w:sz w:val="20"/>
                <w:szCs w:val="20"/>
              </w:rPr>
              <w:t>Dále pak dodavatel nemůže reagovat například k zákonnosti důkazů k jejich závažnosti (důležitosti), ke způsobu jejich hodnocení. Dodavatel je totiž omezen pouze na vyvracení jejich pravdivosti – věrohodnosti.</w:t>
            </w:r>
          </w:p>
          <w:p w14:paraId="7C546267" w14:textId="2929DDAB" w:rsidR="00582E09" w:rsidRDefault="00582E09" w:rsidP="002A2FC9">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Jsme přesvědčení, že taková omezení nepovedou k efektivnějšímu přezkumu, ale pouze k tomu, že dodavatelé nebudou motivování řízení vůbec podstupovat – respektive bude minimální šance, že nashromáždí důkazy, které povedou k úspěchu v řízení. Tím bude efektivně omezena kontrola nad veřejnými zakázkami, potažmo nedojde k větší transparentnosti, ale právě naopak. </w:t>
            </w:r>
          </w:p>
          <w:p w14:paraId="4CD3D8D7" w14:textId="25F041A6" w:rsidR="00A97299" w:rsidRDefault="00A97299" w:rsidP="002A2FC9">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Dále z úřadu, který chránil veřejný zájem na nediskriminačním, rovném, transparentním </w:t>
            </w:r>
            <w:proofErr w:type="gramStart"/>
            <w:r>
              <w:rPr>
                <w:rFonts w:ascii="Times New Roman" w:eastAsia="Calibri" w:hAnsi="Times New Roman" w:cs="Times New Roman"/>
                <w:sz w:val="20"/>
                <w:szCs w:val="20"/>
              </w:rPr>
              <w:t>a  přiměřeném</w:t>
            </w:r>
            <w:proofErr w:type="gramEnd"/>
            <w:r>
              <w:rPr>
                <w:rFonts w:ascii="Times New Roman" w:eastAsia="Calibri" w:hAnsi="Times New Roman" w:cs="Times New Roman"/>
                <w:sz w:val="20"/>
                <w:szCs w:val="20"/>
              </w:rPr>
              <w:t xml:space="preserve"> zadávání se stane pouze rozhodčí sporu mezi zadavatelem a navrhovatelem. Úřad bude muset například zamítnout návrh i v případech, kdy navrhovatel přeloží pádné důkazy o pochybení zadavatele, ale po lhůtě. Úřad tedy bude nucen potvrzovat i „nepravosti“, o nichž ví, protože jeho rozhodování bude svázáno ryze formálními pravidly.</w:t>
            </w:r>
          </w:p>
          <w:p w14:paraId="00DEF999" w14:textId="4B87B531" w:rsidR="00582E09" w:rsidRDefault="00582E09" w:rsidP="002A2FC9">
            <w:pPr>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Dalším problémem je omezení možnosti reagovat na důkazy a skutečnosti ve vztahu k ústnímu jednání nebo sdělení předběžného názoru Úřadu. Návrh nestanoví do kdy může Úřad shromažďovat podklady pro rozhodnutí a provádět důkazy. Úřad tedy není v této činnosti omezen ani po ukončení ústního jednání či sdělení předběžného názoru. K takovým úkonům už však bude reakce navrhovateli znemožněna.</w:t>
            </w:r>
          </w:p>
          <w:p w14:paraId="554D06B9" w14:textId="08F4FB51" w:rsidR="00CF65EF" w:rsidRDefault="00CF65EF" w:rsidP="002A2FC9">
            <w:pPr>
              <w:jc w:val="both"/>
              <w:rPr>
                <w:rFonts w:ascii="Times New Roman" w:eastAsia="Calibri" w:hAnsi="Times New Roman" w:cs="Times New Roman"/>
                <w:sz w:val="20"/>
                <w:szCs w:val="20"/>
              </w:rPr>
            </w:pPr>
          </w:p>
        </w:tc>
      </w:tr>
      <w:tr w:rsidR="007E4BE7" w14:paraId="73FA5C0B" w14:textId="77777777" w:rsidTr="009F013A">
        <w:trPr>
          <w:trHeight w:val="340"/>
        </w:trPr>
        <w:tc>
          <w:tcPr>
            <w:tcW w:w="1428" w:type="dxa"/>
            <w:tcBorders>
              <w:top w:val="single" w:sz="4" w:space="0" w:color="auto"/>
              <w:left w:val="single" w:sz="4" w:space="0" w:color="auto"/>
              <w:bottom w:val="single" w:sz="4" w:space="0" w:color="auto"/>
              <w:right w:val="single" w:sz="4" w:space="0" w:color="auto"/>
            </w:tcBorders>
          </w:tcPr>
          <w:p w14:paraId="7496F165" w14:textId="0514CF37" w:rsidR="007E4BE7" w:rsidRDefault="00A04902" w:rsidP="001D07DC">
            <w:pPr>
              <w:jc w:val="both"/>
              <w:rPr>
                <w:rFonts w:ascii="Times New Roman" w:hAnsi="Times New Roman" w:cs="Times New Roman"/>
                <w:sz w:val="20"/>
                <w:szCs w:val="20"/>
              </w:rPr>
            </w:pPr>
            <w:r>
              <w:rPr>
                <w:rFonts w:ascii="Times New Roman" w:hAnsi="Times New Roman" w:cs="Times New Roman"/>
                <w:sz w:val="20"/>
                <w:szCs w:val="20"/>
              </w:rPr>
              <w:lastRenderedPageBreak/>
              <w:t>SPS</w:t>
            </w:r>
          </w:p>
        </w:tc>
        <w:tc>
          <w:tcPr>
            <w:tcW w:w="5088" w:type="dxa"/>
            <w:tcBorders>
              <w:top w:val="single" w:sz="4" w:space="0" w:color="auto"/>
              <w:left w:val="single" w:sz="4" w:space="0" w:color="auto"/>
              <w:bottom w:val="single" w:sz="4" w:space="0" w:color="auto"/>
              <w:right w:val="single" w:sz="4" w:space="0" w:color="auto"/>
            </w:tcBorders>
          </w:tcPr>
          <w:p w14:paraId="3C5B10EF" w14:textId="3833CB95" w:rsidR="00A04902" w:rsidRDefault="00582E09" w:rsidP="007E4BE7">
            <w:pPr>
              <w:jc w:val="both"/>
              <w:rPr>
                <w:rFonts w:ascii="Times New Roman" w:eastAsia="Calibri" w:hAnsi="Times New Roman" w:cs="Times New Roman"/>
                <w:sz w:val="20"/>
                <w:szCs w:val="20"/>
              </w:rPr>
            </w:pPr>
            <w:r>
              <w:rPr>
                <w:rFonts w:ascii="Times New Roman" w:eastAsia="Calibri" w:hAnsi="Times New Roman" w:cs="Times New Roman"/>
                <w:sz w:val="20"/>
                <w:szCs w:val="20"/>
              </w:rPr>
              <w:t>§ 252a</w:t>
            </w:r>
            <w:r w:rsidR="003E4945">
              <w:rPr>
                <w:rFonts w:ascii="Times New Roman" w:eastAsia="Calibri" w:hAnsi="Times New Roman" w:cs="Times New Roman"/>
                <w:sz w:val="20"/>
                <w:szCs w:val="20"/>
              </w:rPr>
              <w:t xml:space="preserve"> a § 257a písm. a)</w:t>
            </w:r>
          </w:p>
          <w:p w14:paraId="69855D8A" w14:textId="6DE692E7" w:rsidR="00582E09" w:rsidRDefault="00582E09" w:rsidP="007E4BE7">
            <w:pPr>
              <w:jc w:val="both"/>
              <w:rPr>
                <w:rFonts w:ascii="Times New Roman" w:eastAsia="Calibri" w:hAnsi="Times New Roman" w:cs="Times New Roman"/>
                <w:sz w:val="20"/>
                <w:szCs w:val="20"/>
              </w:rPr>
            </w:pPr>
            <w:r>
              <w:rPr>
                <w:rFonts w:ascii="Times New Roman" w:eastAsia="Calibri" w:hAnsi="Times New Roman" w:cs="Times New Roman"/>
                <w:sz w:val="20"/>
                <w:szCs w:val="20"/>
              </w:rPr>
              <w:t>Navrhujeme vypustit.</w:t>
            </w:r>
          </w:p>
          <w:p w14:paraId="7ED83CAD" w14:textId="393F211F" w:rsidR="00582E09" w:rsidRDefault="00582E09" w:rsidP="007E4BE7">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Nesouhlasíme s přenesením důkazního </w:t>
            </w:r>
            <w:r w:rsidR="00A97299">
              <w:rPr>
                <w:rFonts w:ascii="Times New Roman" w:eastAsia="Calibri" w:hAnsi="Times New Roman" w:cs="Times New Roman"/>
                <w:sz w:val="20"/>
                <w:szCs w:val="20"/>
              </w:rPr>
              <w:t>břemene</w:t>
            </w:r>
            <w:r>
              <w:rPr>
                <w:rFonts w:ascii="Times New Roman" w:eastAsia="Calibri" w:hAnsi="Times New Roman" w:cs="Times New Roman"/>
                <w:sz w:val="20"/>
                <w:szCs w:val="20"/>
              </w:rPr>
              <w:t xml:space="preserve"> na navrhovatele.</w:t>
            </w:r>
          </w:p>
          <w:p w14:paraId="5DB7AD7F" w14:textId="2DFEC44B" w:rsidR="00A04902" w:rsidRDefault="00A04902" w:rsidP="00A04902">
            <w:pPr>
              <w:jc w:val="both"/>
              <w:rPr>
                <w:rFonts w:ascii="Times New Roman" w:eastAsia="Calibri"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tcPr>
          <w:p w14:paraId="634B8BFE" w14:textId="640C8AA0" w:rsidR="00A04902" w:rsidRDefault="00582E09" w:rsidP="00A04902">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Jak bylo uvedeno výše, od dodavatele, který je navrhovatele, nelze očekávat předložení důkazů nezbytných k objasnění skutkového stavu. Dodavatel nemá </w:t>
            </w:r>
            <w:r w:rsidR="00A97299">
              <w:rPr>
                <w:rFonts w:ascii="Times New Roman" w:eastAsia="Calibri" w:hAnsi="Times New Roman" w:cs="Times New Roman"/>
                <w:sz w:val="20"/>
                <w:szCs w:val="20"/>
              </w:rPr>
              <w:t>nástroje,</w:t>
            </w:r>
            <w:r>
              <w:rPr>
                <w:rFonts w:ascii="Times New Roman" w:eastAsia="Calibri" w:hAnsi="Times New Roman" w:cs="Times New Roman"/>
                <w:sz w:val="20"/>
                <w:szCs w:val="20"/>
              </w:rPr>
              <w:t xml:space="preserve"> jak tyto důkazy obstarat. Chápeme, že navrhovatel má mít povinnost opřít svá </w:t>
            </w:r>
            <w:r w:rsidR="00A97299">
              <w:rPr>
                <w:rFonts w:ascii="Times New Roman" w:eastAsia="Calibri" w:hAnsi="Times New Roman" w:cs="Times New Roman"/>
                <w:sz w:val="20"/>
                <w:szCs w:val="20"/>
              </w:rPr>
              <w:t>tvrzení</w:t>
            </w:r>
            <w:r>
              <w:rPr>
                <w:rFonts w:ascii="Times New Roman" w:eastAsia="Calibri" w:hAnsi="Times New Roman" w:cs="Times New Roman"/>
                <w:sz w:val="20"/>
                <w:szCs w:val="20"/>
              </w:rPr>
              <w:t xml:space="preserve"> o relevantní důkazy, které vytvářejí důvodné pochybnosti o správnosti postupu zadavatele. Po navrhovateli vša</w:t>
            </w:r>
            <w:r w:rsidR="00A97299">
              <w:rPr>
                <w:rFonts w:ascii="Times New Roman" w:eastAsia="Calibri" w:hAnsi="Times New Roman" w:cs="Times New Roman"/>
                <w:sz w:val="20"/>
                <w:szCs w:val="20"/>
              </w:rPr>
              <w:t>k</w:t>
            </w:r>
            <w:r>
              <w:rPr>
                <w:rFonts w:ascii="Times New Roman" w:eastAsia="Calibri" w:hAnsi="Times New Roman" w:cs="Times New Roman"/>
                <w:sz w:val="20"/>
                <w:szCs w:val="20"/>
              </w:rPr>
              <w:t xml:space="preserve"> nelze požadovat</w:t>
            </w:r>
            <w:r w:rsidR="00A97299">
              <w:rPr>
                <w:rFonts w:ascii="Times New Roman" w:eastAsia="Calibri" w:hAnsi="Times New Roman" w:cs="Times New Roman"/>
                <w:sz w:val="20"/>
                <w:szCs w:val="20"/>
              </w:rPr>
              <w:t>, aby zadavateli nade vší pochybnost prokázal, že pochybil.</w:t>
            </w:r>
            <w:r>
              <w:rPr>
                <w:rFonts w:ascii="Times New Roman" w:eastAsia="Calibri" w:hAnsi="Times New Roman" w:cs="Times New Roman"/>
                <w:sz w:val="20"/>
                <w:szCs w:val="20"/>
              </w:rPr>
              <w:t xml:space="preserve"> </w:t>
            </w:r>
          </w:p>
          <w:p w14:paraId="7A23C20F" w14:textId="77777777" w:rsidR="00A97299" w:rsidRDefault="00A97299" w:rsidP="00A04902">
            <w:pPr>
              <w:jc w:val="both"/>
              <w:rPr>
                <w:rFonts w:ascii="Times New Roman" w:eastAsia="Calibri" w:hAnsi="Times New Roman" w:cs="Times New Roman"/>
                <w:sz w:val="20"/>
                <w:szCs w:val="20"/>
              </w:rPr>
            </w:pPr>
            <w:r>
              <w:rPr>
                <w:rFonts w:ascii="Times New Roman" w:eastAsia="Calibri" w:hAnsi="Times New Roman" w:cs="Times New Roman"/>
                <w:sz w:val="20"/>
                <w:szCs w:val="20"/>
              </w:rPr>
              <w:t>Dodavatel v okamžiku podání návrhu „nevidí“ do dokumentace veřejné zakázky. Nemůže tedy vědět o všech krocích zadavatele a jejich důvodech navíc obstarání informací z trhu nebo například od jiných zadavatelů k předkládaným referencím nemusí být pro dodavatele vůbec možné.</w:t>
            </w:r>
          </w:p>
          <w:p w14:paraId="281910C3" w14:textId="4B10F940" w:rsidR="00A97299" w:rsidRDefault="00A97299" w:rsidP="00A04902">
            <w:pPr>
              <w:jc w:val="both"/>
              <w:rPr>
                <w:rFonts w:ascii="Times New Roman" w:eastAsia="Calibri" w:hAnsi="Times New Roman" w:cs="Times New Roman"/>
                <w:sz w:val="20"/>
                <w:szCs w:val="20"/>
              </w:rPr>
            </w:pPr>
            <w:r>
              <w:rPr>
                <w:rFonts w:ascii="Times New Roman" w:eastAsia="Calibri" w:hAnsi="Times New Roman" w:cs="Times New Roman"/>
                <w:sz w:val="20"/>
                <w:szCs w:val="20"/>
              </w:rPr>
              <w:t>Pokud ponecháme na dodavatelích, aby zadavatelům museli prokazovat jejich pochybení a v případech pochybností</w:t>
            </w:r>
            <w:r w:rsidR="003E4945">
              <w:rPr>
                <w:rFonts w:ascii="Times New Roman" w:eastAsia="Calibri" w:hAnsi="Times New Roman" w:cs="Times New Roman"/>
                <w:sz w:val="20"/>
                <w:szCs w:val="20"/>
              </w:rPr>
              <w:t>,</w:t>
            </w:r>
            <w:r>
              <w:rPr>
                <w:rFonts w:ascii="Times New Roman" w:eastAsia="Calibri" w:hAnsi="Times New Roman" w:cs="Times New Roman"/>
                <w:sz w:val="20"/>
                <w:szCs w:val="20"/>
              </w:rPr>
              <w:t xml:space="preserve"> byť důvodných</w:t>
            </w:r>
            <w:r w:rsidR="003E4945">
              <w:rPr>
                <w:rFonts w:ascii="Times New Roman" w:eastAsia="Calibri" w:hAnsi="Times New Roman" w:cs="Times New Roman"/>
                <w:sz w:val="20"/>
                <w:szCs w:val="20"/>
              </w:rPr>
              <w:t>,</w:t>
            </w:r>
            <w:r>
              <w:rPr>
                <w:rFonts w:ascii="Times New Roman" w:eastAsia="Calibri" w:hAnsi="Times New Roman" w:cs="Times New Roman"/>
                <w:sz w:val="20"/>
                <w:szCs w:val="20"/>
              </w:rPr>
              <w:t xml:space="preserve"> bude Úřad muset rozhodnout ve prospěch zadavatele, dojde k výraznému omezení kontroly a dohledu nad veřejným zadáváním.</w:t>
            </w:r>
          </w:p>
          <w:p w14:paraId="34A714F7" w14:textId="46C5665B" w:rsidR="00A97299" w:rsidRDefault="00A97299" w:rsidP="00A04902">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Máme za to, že role Úřadu nemá být pouze role arbitra, tedy toho, kdo rozhodne spor mezi dodavatelem a zadavatelem. Úřad má zastávat roli správního úřadu, který chrání veřejný zájem. Úřad tedy má v řízeních, kde existují pochybnosti, sám vyšetřovat a objasňovat. </w:t>
            </w:r>
            <w:r w:rsidR="003E4945">
              <w:rPr>
                <w:rFonts w:ascii="Times New Roman" w:eastAsia="Calibri" w:hAnsi="Times New Roman" w:cs="Times New Roman"/>
                <w:sz w:val="20"/>
                <w:szCs w:val="20"/>
              </w:rPr>
              <w:t>Veřejný zájem na dodržování základních zásad veřejného zadávání nelze efektivně hájit v řízení, kde Úřad projedná pouze to, co je mu předloženo při stanovení velmi mezujících formálních pravidel.</w:t>
            </w:r>
          </w:p>
          <w:p w14:paraId="65FA0370" w14:textId="462B92A8" w:rsidR="00A97299" w:rsidRDefault="00A97299" w:rsidP="00A04902">
            <w:pPr>
              <w:jc w:val="both"/>
              <w:rPr>
                <w:rFonts w:ascii="Times New Roman" w:eastAsia="Calibri" w:hAnsi="Times New Roman" w:cs="Times New Roman"/>
                <w:sz w:val="20"/>
                <w:szCs w:val="20"/>
              </w:rPr>
            </w:pPr>
          </w:p>
          <w:p w14:paraId="73709978" w14:textId="77777777" w:rsidR="00A97299" w:rsidRDefault="00A97299" w:rsidP="00A04902">
            <w:pPr>
              <w:jc w:val="both"/>
              <w:rPr>
                <w:rFonts w:ascii="Times New Roman" w:eastAsia="Calibri" w:hAnsi="Times New Roman" w:cs="Times New Roman"/>
                <w:sz w:val="20"/>
                <w:szCs w:val="20"/>
              </w:rPr>
            </w:pPr>
          </w:p>
          <w:p w14:paraId="6A87BA13" w14:textId="77777777" w:rsidR="007E4BE7" w:rsidRPr="00E374D3" w:rsidRDefault="007E4BE7" w:rsidP="002A2FC9">
            <w:pPr>
              <w:jc w:val="both"/>
              <w:rPr>
                <w:rFonts w:ascii="Times New Roman" w:eastAsia="Calibri" w:hAnsi="Times New Roman" w:cs="Times New Roman"/>
                <w:sz w:val="20"/>
                <w:szCs w:val="20"/>
              </w:rPr>
            </w:pPr>
          </w:p>
        </w:tc>
      </w:tr>
      <w:tr w:rsidR="00CA439A" w14:paraId="197867C1" w14:textId="77777777" w:rsidTr="009F013A">
        <w:trPr>
          <w:trHeight w:val="340"/>
        </w:trPr>
        <w:tc>
          <w:tcPr>
            <w:tcW w:w="1428" w:type="dxa"/>
            <w:tcBorders>
              <w:top w:val="single" w:sz="4" w:space="0" w:color="auto"/>
              <w:left w:val="single" w:sz="4" w:space="0" w:color="auto"/>
              <w:bottom w:val="single" w:sz="4" w:space="0" w:color="auto"/>
              <w:right w:val="single" w:sz="4" w:space="0" w:color="auto"/>
            </w:tcBorders>
          </w:tcPr>
          <w:p w14:paraId="629494F0" w14:textId="0BF8CAE6" w:rsidR="00CA439A" w:rsidRDefault="00CA439A" w:rsidP="001D07DC">
            <w:pPr>
              <w:jc w:val="both"/>
              <w:rPr>
                <w:rFonts w:ascii="Times New Roman" w:hAnsi="Times New Roman" w:cs="Times New Roman"/>
                <w:sz w:val="20"/>
                <w:szCs w:val="20"/>
              </w:rPr>
            </w:pPr>
            <w:r>
              <w:rPr>
                <w:rFonts w:ascii="Times New Roman" w:hAnsi="Times New Roman" w:cs="Times New Roman"/>
                <w:sz w:val="20"/>
                <w:szCs w:val="20"/>
              </w:rPr>
              <w:t>SPS</w:t>
            </w:r>
          </w:p>
        </w:tc>
        <w:tc>
          <w:tcPr>
            <w:tcW w:w="5088" w:type="dxa"/>
            <w:tcBorders>
              <w:top w:val="single" w:sz="4" w:space="0" w:color="auto"/>
              <w:left w:val="single" w:sz="4" w:space="0" w:color="auto"/>
              <w:bottom w:val="single" w:sz="4" w:space="0" w:color="auto"/>
              <w:right w:val="single" w:sz="4" w:space="0" w:color="auto"/>
            </w:tcBorders>
          </w:tcPr>
          <w:p w14:paraId="7D1F0312" w14:textId="77777777" w:rsidR="00CA439A" w:rsidRDefault="00CA439A" w:rsidP="007E4BE7">
            <w:pPr>
              <w:jc w:val="both"/>
              <w:rPr>
                <w:rFonts w:ascii="Times New Roman" w:eastAsia="Calibri" w:hAnsi="Times New Roman" w:cs="Times New Roman"/>
                <w:sz w:val="20"/>
                <w:szCs w:val="20"/>
              </w:rPr>
            </w:pPr>
            <w:r>
              <w:rPr>
                <w:rFonts w:ascii="Times New Roman" w:eastAsia="Calibri" w:hAnsi="Times New Roman" w:cs="Times New Roman"/>
                <w:sz w:val="20"/>
                <w:szCs w:val="20"/>
              </w:rPr>
              <w:t>K § 255</w:t>
            </w:r>
          </w:p>
          <w:p w14:paraId="7922AB6D" w14:textId="5FCF35EF" w:rsidR="00CA439A" w:rsidRDefault="00CA439A" w:rsidP="007E4BE7">
            <w:pPr>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Navrhujeme buďto zachovat původní limit  kauce10 000 000,- Kč nebo jej případně nesnižovat až na částku 2 000 000,- Kč, ale ponechat jej ve vyšší výši.</w:t>
            </w:r>
          </w:p>
        </w:tc>
        <w:tc>
          <w:tcPr>
            <w:tcW w:w="7513" w:type="dxa"/>
            <w:tcBorders>
              <w:top w:val="single" w:sz="4" w:space="0" w:color="auto"/>
              <w:left w:val="single" w:sz="4" w:space="0" w:color="auto"/>
              <w:bottom w:val="single" w:sz="4" w:space="0" w:color="auto"/>
              <w:right w:val="single" w:sz="4" w:space="0" w:color="auto"/>
            </w:tcBorders>
          </w:tcPr>
          <w:p w14:paraId="4217788C" w14:textId="22728E31" w:rsidR="00CA439A" w:rsidRDefault="00CA439A" w:rsidP="00A04902">
            <w:pPr>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Snížení </w:t>
            </w:r>
            <w:r w:rsidRPr="00CA439A">
              <w:rPr>
                <w:rFonts w:ascii="Times New Roman" w:eastAsia="Calibri" w:hAnsi="Times New Roman" w:cs="Times New Roman"/>
                <w:sz w:val="20"/>
                <w:szCs w:val="20"/>
              </w:rPr>
              <w:t>maximální výše kauce z 10 na 2 mil. Kč</w:t>
            </w:r>
            <w:r>
              <w:rPr>
                <w:rFonts w:ascii="Times New Roman" w:eastAsia="Calibri" w:hAnsi="Times New Roman" w:cs="Times New Roman"/>
                <w:sz w:val="20"/>
                <w:szCs w:val="20"/>
              </w:rPr>
              <w:t xml:space="preserve"> v</w:t>
            </w:r>
            <w:r w:rsidRPr="00CA439A">
              <w:rPr>
                <w:rFonts w:ascii="Times New Roman" w:eastAsia="Calibri" w:hAnsi="Times New Roman" w:cs="Times New Roman"/>
                <w:sz w:val="20"/>
                <w:szCs w:val="20"/>
              </w:rPr>
              <w:t xml:space="preserve"> kombinaci s možností vrácení 65% kauce po sdělení předběžného právního názoru </w:t>
            </w:r>
            <w:r>
              <w:rPr>
                <w:rFonts w:ascii="Times New Roman" w:eastAsia="Calibri" w:hAnsi="Times New Roman" w:cs="Times New Roman"/>
                <w:sz w:val="20"/>
                <w:szCs w:val="20"/>
              </w:rPr>
              <w:t>může dle našeho názoru vést k</w:t>
            </w:r>
            <w:r w:rsidRPr="00CA439A">
              <w:rPr>
                <w:rFonts w:ascii="Times New Roman" w:eastAsia="Calibri" w:hAnsi="Times New Roman" w:cs="Times New Roman"/>
                <w:sz w:val="20"/>
                <w:szCs w:val="20"/>
              </w:rPr>
              <w:t xml:space="preserve"> výrazn</w:t>
            </w:r>
            <w:r>
              <w:rPr>
                <w:rFonts w:ascii="Times New Roman" w:eastAsia="Calibri" w:hAnsi="Times New Roman" w:cs="Times New Roman"/>
                <w:sz w:val="20"/>
                <w:szCs w:val="20"/>
              </w:rPr>
              <w:t>ému</w:t>
            </w:r>
            <w:r w:rsidRPr="00CA439A">
              <w:rPr>
                <w:rFonts w:ascii="Times New Roman" w:eastAsia="Calibri" w:hAnsi="Times New Roman" w:cs="Times New Roman"/>
                <w:sz w:val="20"/>
                <w:szCs w:val="20"/>
              </w:rPr>
              <w:t xml:space="preserve"> navýšení </w:t>
            </w:r>
            <w:r w:rsidRPr="00CA439A">
              <w:rPr>
                <w:rFonts w:ascii="Times New Roman" w:eastAsia="Calibri" w:hAnsi="Times New Roman" w:cs="Times New Roman"/>
                <w:sz w:val="20"/>
                <w:szCs w:val="20"/>
              </w:rPr>
              <w:lastRenderedPageBreak/>
              <w:t>počtu návrhů</w:t>
            </w:r>
            <w:r>
              <w:rPr>
                <w:rFonts w:ascii="Times New Roman" w:eastAsia="Calibri" w:hAnsi="Times New Roman" w:cs="Times New Roman"/>
                <w:sz w:val="20"/>
                <w:szCs w:val="20"/>
              </w:rPr>
              <w:t>.</w:t>
            </w:r>
            <w:r w:rsidRPr="00CA439A">
              <w:rPr>
                <w:rFonts w:ascii="Times New Roman" w:eastAsia="Calibri" w:hAnsi="Times New Roman" w:cs="Times New Roman"/>
                <w:sz w:val="20"/>
                <w:szCs w:val="20"/>
              </w:rPr>
              <w:t xml:space="preserve"> </w:t>
            </w:r>
            <w:r>
              <w:rPr>
                <w:rFonts w:ascii="Times New Roman" w:eastAsia="Calibri" w:hAnsi="Times New Roman" w:cs="Times New Roman"/>
                <w:sz w:val="20"/>
                <w:szCs w:val="20"/>
              </w:rPr>
              <w:t>Doporučujeme ponechat původní maximální hranici, nebo provést menší snížení.</w:t>
            </w:r>
          </w:p>
        </w:tc>
      </w:tr>
      <w:tr w:rsidR="00A04902" w14:paraId="687E1007" w14:textId="77777777" w:rsidTr="009F013A">
        <w:trPr>
          <w:trHeight w:val="340"/>
        </w:trPr>
        <w:tc>
          <w:tcPr>
            <w:tcW w:w="1428" w:type="dxa"/>
            <w:tcBorders>
              <w:top w:val="single" w:sz="4" w:space="0" w:color="auto"/>
              <w:left w:val="single" w:sz="4" w:space="0" w:color="auto"/>
              <w:bottom w:val="single" w:sz="4" w:space="0" w:color="auto"/>
              <w:right w:val="single" w:sz="4" w:space="0" w:color="auto"/>
            </w:tcBorders>
          </w:tcPr>
          <w:p w14:paraId="5023BD6A" w14:textId="127F6D21" w:rsidR="00A04902" w:rsidRDefault="00A04902" w:rsidP="001D07DC">
            <w:pPr>
              <w:jc w:val="both"/>
              <w:rPr>
                <w:rFonts w:ascii="Times New Roman" w:hAnsi="Times New Roman" w:cs="Times New Roman"/>
                <w:sz w:val="20"/>
                <w:szCs w:val="20"/>
              </w:rPr>
            </w:pPr>
            <w:r>
              <w:rPr>
                <w:rFonts w:ascii="Times New Roman" w:hAnsi="Times New Roman" w:cs="Times New Roman"/>
                <w:sz w:val="20"/>
                <w:szCs w:val="20"/>
              </w:rPr>
              <w:lastRenderedPageBreak/>
              <w:t>SPS</w:t>
            </w:r>
          </w:p>
        </w:tc>
        <w:tc>
          <w:tcPr>
            <w:tcW w:w="5088" w:type="dxa"/>
            <w:tcBorders>
              <w:top w:val="single" w:sz="4" w:space="0" w:color="auto"/>
              <w:left w:val="single" w:sz="4" w:space="0" w:color="auto"/>
              <w:bottom w:val="single" w:sz="4" w:space="0" w:color="auto"/>
              <w:right w:val="single" w:sz="4" w:space="0" w:color="auto"/>
            </w:tcBorders>
          </w:tcPr>
          <w:p w14:paraId="2D703A4C" w14:textId="77777777" w:rsidR="00A04902" w:rsidRDefault="003E4945" w:rsidP="00A04902">
            <w:pPr>
              <w:jc w:val="both"/>
              <w:rPr>
                <w:rFonts w:ascii="Times New Roman" w:eastAsia="Calibri" w:hAnsi="Times New Roman" w:cs="Times New Roman"/>
                <w:sz w:val="20"/>
                <w:szCs w:val="20"/>
              </w:rPr>
            </w:pPr>
            <w:r>
              <w:rPr>
                <w:rFonts w:ascii="Times New Roman" w:eastAsia="Calibri" w:hAnsi="Times New Roman" w:cs="Times New Roman"/>
                <w:sz w:val="20"/>
                <w:szCs w:val="20"/>
              </w:rPr>
              <w:t>K soudnímu přezkumu.</w:t>
            </w:r>
          </w:p>
          <w:p w14:paraId="677661E3" w14:textId="77777777" w:rsidR="003E4945" w:rsidRPr="002E7250" w:rsidRDefault="003E4945" w:rsidP="00A04902">
            <w:pPr>
              <w:jc w:val="both"/>
              <w:rPr>
                <w:rFonts w:ascii="Times New Roman" w:eastAsia="Calibri" w:hAnsi="Times New Roman" w:cs="Times New Roman"/>
                <w:sz w:val="20"/>
                <w:szCs w:val="20"/>
              </w:rPr>
            </w:pPr>
            <w:r w:rsidRPr="002E7250">
              <w:rPr>
                <w:rFonts w:ascii="Times New Roman" w:eastAsia="Calibri" w:hAnsi="Times New Roman" w:cs="Times New Roman"/>
                <w:sz w:val="20"/>
                <w:szCs w:val="20"/>
              </w:rPr>
              <w:t>Kromě toho, že požadujeme objasnit, jak budou posíleny soudy personálně a ekonomicky, aby zvládly novou agendu</w:t>
            </w:r>
            <w:r w:rsidR="002E7250" w:rsidRPr="002E7250">
              <w:rPr>
                <w:rFonts w:ascii="Times New Roman" w:eastAsia="Calibri" w:hAnsi="Times New Roman" w:cs="Times New Roman"/>
                <w:sz w:val="20"/>
                <w:szCs w:val="20"/>
              </w:rPr>
              <w:t>, navrhujeme následující:</w:t>
            </w:r>
          </w:p>
          <w:p w14:paraId="71AAC51B" w14:textId="5ACBF359" w:rsidR="002E7250" w:rsidRPr="002E7250" w:rsidRDefault="002E7250" w:rsidP="00A04902">
            <w:pPr>
              <w:jc w:val="both"/>
              <w:rPr>
                <w:rFonts w:ascii="Times New Roman" w:eastAsia="Calibri" w:hAnsi="Times New Roman" w:cs="Times New Roman"/>
                <w:sz w:val="20"/>
                <w:szCs w:val="20"/>
              </w:rPr>
            </w:pPr>
            <w:r w:rsidRPr="002E7250">
              <w:rPr>
                <w:rFonts w:ascii="Times New Roman" w:eastAsia="Calibri" w:hAnsi="Times New Roman" w:cs="Times New Roman"/>
                <w:sz w:val="20"/>
                <w:szCs w:val="20"/>
              </w:rPr>
              <w:t>Navrhujeme vytvořit u Krajského soudu v Brně specializované senáty pro danou agendu.</w:t>
            </w:r>
          </w:p>
          <w:p w14:paraId="02228EEF" w14:textId="045E8181" w:rsidR="002E7250" w:rsidRPr="002E7250" w:rsidRDefault="002E7250" w:rsidP="00A04902">
            <w:pPr>
              <w:jc w:val="both"/>
              <w:rPr>
                <w:rFonts w:ascii="Times New Roman" w:eastAsia="Calibri" w:hAnsi="Times New Roman" w:cs="Times New Roman"/>
                <w:sz w:val="20"/>
                <w:szCs w:val="20"/>
              </w:rPr>
            </w:pPr>
            <w:r w:rsidRPr="002E7250">
              <w:rPr>
                <w:rFonts w:ascii="Times New Roman" w:eastAsia="Calibri" w:hAnsi="Times New Roman" w:cs="Times New Roman"/>
                <w:sz w:val="20"/>
                <w:szCs w:val="20"/>
              </w:rPr>
              <w:t>Dále navrhujeme, aby byl soud povinen vždy rozhodnout o všech žalobních bodech.</w:t>
            </w:r>
          </w:p>
          <w:p w14:paraId="06267A68" w14:textId="0537EF80" w:rsidR="002E7250" w:rsidRPr="00A04902" w:rsidRDefault="002E7250" w:rsidP="00A04902">
            <w:pPr>
              <w:jc w:val="both"/>
              <w:rPr>
                <w:rFonts w:ascii="Times New Roman" w:eastAsia="Calibri" w:hAnsi="Times New Roman" w:cs="Times New Roman"/>
                <w:strike/>
                <w:sz w:val="20"/>
                <w:szCs w:val="20"/>
              </w:rPr>
            </w:pPr>
          </w:p>
        </w:tc>
        <w:tc>
          <w:tcPr>
            <w:tcW w:w="7513" w:type="dxa"/>
            <w:tcBorders>
              <w:top w:val="single" w:sz="4" w:space="0" w:color="auto"/>
              <w:left w:val="single" w:sz="4" w:space="0" w:color="auto"/>
              <w:bottom w:val="single" w:sz="4" w:space="0" w:color="auto"/>
              <w:right w:val="single" w:sz="4" w:space="0" w:color="auto"/>
            </w:tcBorders>
          </w:tcPr>
          <w:p w14:paraId="0CB4D8D4" w14:textId="60E9D51E" w:rsidR="00A04902" w:rsidRDefault="002E7250" w:rsidP="00A04902">
            <w:pPr>
              <w:jc w:val="both"/>
              <w:rPr>
                <w:rFonts w:ascii="Times New Roman" w:eastAsia="Calibri" w:hAnsi="Times New Roman" w:cs="Times New Roman"/>
                <w:sz w:val="20"/>
                <w:szCs w:val="20"/>
              </w:rPr>
            </w:pPr>
            <w:r>
              <w:rPr>
                <w:rFonts w:ascii="Times New Roman" w:eastAsia="Calibri" w:hAnsi="Times New Roman" w:cs="Times New Roman"/>
                <w:sz w:val="20"/>
                <w:szCs w:val="20"/>
              </w:rPr>
              <w:t>Pokud by soudní přezkum měl probíhat při zachování blokační lhůty tak, jak je v návrhu navrhováno, hrozí podle naše názoru vznik nechtěného ping-pongu mezi soudy a Úřadem.</w:t>
            </w:r>
          </w:p>
          <w:p w14:paraId="2DB1DC08" w14:textId="1997CE3A" w:rsidR="002E7250" w:rsidRDefault="002E7250" w:rsidP="00A04902">
            <w:pPr>
              <w:jc w:val="both"/>
              <w:rPr>
                <w:rFonts w:ascii="Times New Roman" w:eastAsia="Calibri" w:hAnsi="Times New Roman" w:cs="Times New Roman"/>
                <w:sz w:val="20"/>
                <w:szCs w:val="20"/>
              </w:rPr>
            </w:pPr>
            <w:r>
              <w:rPr>
                <w:rFonts w:ascii="Times New Roman" w:eastAsia="Calibri" w:hAnsi="Times New Roman" w:cs="Times New Roman"/>
                <w:sz w:val="20"/>
                <w:szCs w:val="20"/>
              </w:rPr>
              <w:t>Soud nemůže rozhodnutí úřadu změnit, a v rámci kasace tak pouze ruší a vrací. Obáváme se zejména toho, aby soudy nevracely věci na procesních pochybeních, aniž by rozhodovaly o meritu věci. Proto je dle našeho názoru vhodné žádat po soudu, aby rozhodnul o všech bodech žaloby.</w:t>
            </w:r>
          </w:p>
          <w:p w14:paraId="7BD220DB" w14:textId="5B139589" w:rsidR="002E7250" w:rsidRDefault="002E7250" w:rsidP="00A04902">
            <w:pPr>
              <w:jc w:val="both"/>
              <w:rPr>
                <w:rFonts w:ascii="Times New Roman" w:eastAsia="Calibri" w:hAnsi="Times New Roman" w:cs="Times New Roman"/>
                <w:sz w:val="20"/>
                <w:szCs w:val="20"/>
              </w:rPr>
            </w:pPr>
            <w:r>
              <w:rPr>
                <w:rFonts w:ascii="Times New Roman" w:eastAsia="Calibri" w:hAnsi="Times New Roman" w:cs="Times New Roman"/>
                <w:sz w:val="20"/>
                <w:szCs w:val="20"/>
              </w:rPr>
              <w:t>Dále je dle našeho názoru vhodné zakázkovou agendu specializovat, tak aby o ní rozhodovali odborníci, kteří v dané oblasti nabydou jistou odbornost. Proto se nám jeví jako správné vytvořit specializované senáty.</w:t>
            </w:r>
          </w:p>
          <w:p w14:paraId="0D3294AB" w14:textId="5E2798A2" w:rsidR="002E7250" w:rsidRDefault="002E7250" w:rsidP="00A04902">
            <w:pPr>
              <w:jc w:val="both"/>
              <w:rPr>
                <w:rFonts w:ascii="Times New Roman" w:eastAsia="Calibri" w:hAnsi="Times New Roman" w:cs="Times New Roman"/>
                <w:sz w:val="20"/>
                <w:szCs w:val="20"/>
              </w:rPr>
            </w:pPr>
          </w:p>
        </w:tc>
      </w:tr>
    </w:tbl>
    <w:p w14:paraId="18F06ED3" w14:textId="77777777" w:rsidR="005F61C4" w:rsidRDefault="005F61C4" w:rsidP="004D5836">
      <w:pPr>
        <w:rPr>
          <w:rFonts w:ascii="Times New Roman" w:hAnsi="Times New Roman" w:cs="Times New Roman"/>
          <w:bCs/>
          <w:i/>
          <w:iCs/>
        </w:rPr>
      </w:pPr>
    </w:p>
    <w:p w14:paraId="58C70A33" w14:textId="44FFAAE8" w:rsidR="004D5836" w:rsidRDefault="004D5836" w:rsidP="004D5836">
      <w:pPr>
        <w:autoSpaceDE w:val="0"/>
        <w:autoSpaceDN w:val="0"/>
        <w:adjustRightInd w:val="0"/>
        <w:rPr>
          <w:rFonts w:ascii="Times New Roman" w:hAnsi="Times New Roman" w:cs="Times New Roman"/>
        </w:rPr>
      </w:pPr>
      <w:r w:rsidRPr="00B56070">
        <w:rPr>
          <w:rFonts w:ascii="Times New Roman" w:hAnsi="Times New Roman" w:cs="Times New Roman"/>
        </w:rPr>
        <w:t>V </w:t>
      </w:r>
      <w:r w:rsidRPr="00B56070">
        <w:rPr>
          <w:rFonts w:ascii="Times New Roman" w:hAnsi="Times New Roman" w:cs="Times New Roman"/>
          <w:bCs/>
        </w:rPr>
        <w:fldChar w:fldCharType="begin">
          <w:ffData>
            <w:name w:val=""/>
            <w:enabled/>
            <w:calcOnExit w:val="0"/>
            <w:textInput>
              <w:default w:val="Praze"/>
            </w:textInput>
          </w:ffData>
        </w:fldChar>
      </w:r>
      <w:r w:rsidRPr="00B56070">
        <w:rPr>
          <w:rFonts w:ascii="Times New Roman" w:hAnsi="Times New Roman" w:cs="Times New Roman"/>
          <w:bCs/>
        </w:rPr>
        <w:instrText xml:space="preserve"> FORMTEXT </w:instrText>
      </w:r>
      <w:r w:rsidRPr="00B56070">
        <w:rPr>
          <w:rFonts w:ascii="Times New Roman" w:hAnsi="Times New Roman" w:cs="Times New Roman"/>
          <w:bCs/>
        </w:rPr>
      </w:r>
      <w:r w:rsidRPr="00B56070">
        <w:rPr>
          <w:rFonts w:ascii="Times New Roman" w:hAnsi="Times New Roman" w:cs="Times New Roman"/>
          <w:bCs/>
        </w:rPr>
        <w:fldChar w:fldCharType="separate"/>
      </w:r>
      <w:r w:rsidRPr="00B56070">
        <w:rPr>
          <w:rFonts w:ascii="Times New Roman" w:hAnsi="Times New Roman" w:cs="Times New Roman"/>
          <w:bCs/>
          <w:noProof/>
        </w:rPr>
        <w:t>Praze</w:t>
      </w:r>
      <w:r w:rsidRPr="00B56070">
        <w:rPr>
          <w:rFonts w:ascii="Times New Roman" w:hAnsi="Times New Roman" w:cs="Times New Roman"/>
          <w:bCs/>
        </w:rPr>
        <w:fldChar w:fldCharType="end"/>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TIME \@ "d. MMMM yyyy" </w:instrText>
      </w:r>
      <w:r>
        <w:rPr>
          <w:rFonts w:ascii="Times New Roman" w:hAnsi="Times New Roman" w:cs="Times New Roman"/>
        </w:rPr>
        <w:fldChar w:fldCharType="separate"/>
      </w:r>
      <w:r w:rsidR="00B56070">
        <w:rPr>
          <w:rFonts w:ascii="Times New Roman" w:hAnsi="Times New Roman" w:cs="Times New Roman"/>
          <w:noProof/>
        </w:rPr>
        <w:t>8. července 2024</w:t>
      </w:r>
      <w:r>
        <w:rPr>
          <w:rFonts w:ascii="Times New Roman" w:hAnsi="Times New Roman" w:cs="Times New Roman"/>
        </w:rPr>
        <w:fldChar w:fldCharType="end"/>
      </w:r>
      <w:r>
        <w:rPr>
          <w:rFonts w:ascii="Times New Roman" w:hAnsi="Times New Roman" w:cs="Times New Roman"/>
        </w:rPr>
        <w:t xml:space="preserve">                                                                                                                           </w:t>
      </w:r>
    </w:p>
    <w:p w14:paraId="66DF2276" w14:textId="22753058" w:rsidR="004D5836" w:rsidRPr="004D5836" w:rsidRDefault="004D5836" w:rsidP="004D5836">
      <w:pPr>
        <w:tabs>
          <w:tab w:val="left" w:pos="9498"/>
        </w:tabs>
        <w:autoSpaceDE w:val="0"/>
        <w:autoSpaceDN w:val="0"/>
        <w:adjustRightInd w:val="0"/>
        <w:rPr>
          <w:rFonts w:ascii="Times New Roman" w:hAnsi="Times New Roman" w:cs="Times New Roman"/>
        </w:rPr>
      </w:pPr>
      <w:r>
        <w:rPr>
          <w:rFonts w:ascii="Times New Roman" w:hAnsi="Times New Roman" w:cs="Times New Roman"/>
        </w:rPr>
        <w:t xml:space="preserve">                                                                                                                                                                     </w:t>
      </w:r>
      <w:r w:rsidRPr="004D5836">
        <w:rPr>
          <w:rFonts w:ascii="Times New Roman" w:hAnsi="Times New Roman" w:cs="Times New Roman"/>
        </w:rPr>
        <w:t xml:space="preserve">Ing. </w:t>
      </w:r>
      <w:r w:rsidR="005F62DE">
        <w:rPr>
          <w:rFonts w:ascii="Times New Roman" w:hAnsi="Times New Roman" w:cs="Times New Roman"/>
        </w:rPr>
        <w:t>Jiří Nouza</w:t>
      </w:r>
    </w:p>
    <w:p w14:paraId="26DB1BC6" w14:textId="0B3F656A" w:rsidR="004D5836" w:rsidRDefault="004D5836" w:rsidP="00A75C17">
      <w:pPr>
        <w:tabs>
          <w:tab w:val="left" w:pos="9498"/>
        </w:tabs>
        <w:autoSpaceDE w:val="0"/>
        <w:autoSpaceDN w:val="0"/>
        <w:adjustRightInd w:val="0"/>
        <w:rPr>
          <w:rFonts w:ascii="Times New Roman" w:hAnsi="Times New Roman" w:cs="Times New Roman"/>
        </w:rPr>
      </w:pPr>
      <w:r>
        <w:rPr>
          <w:rFonts w:ascii="Times New Roman" w:hAnsi="Times New Roman" w:cs="Times New Roman"/>
        </w:rPr>
        <w:t xml:space="preserve">                                                                                                                                                                            </w:t>
      </w:r>
      <w:r w:rsidR="00B56070" w:rsidRPr="004D5836">
        <w:rPr>
          <w:rFonts w:ascii="Times New Roman" w:hAnsi="Times New Roman" w:cs="Times New Roman"/>
        </w:rPr>
        <w:t>P</w:t>
      </w:r>
      <w:r w:rsidRPr="004D5836">
        <w:rPr>
          <w:rFonts w:ascii="Times New Roman" w:hAnsi="Times New Roman" w:cs="Times New Roman"/>
        </w:rPr>
        <w:t>rezident</w:t>
      </w:r>
    </w:p>
    <w:p w14:paraId="3750B3F0" w14:textId="600E52C2" w:rsidR="00B56070" w:rsidRDefault="00B56070" w:rsidP="00B56070">
      <w:pPr>
        <w:pStyle w:val="Normlnweb"/>
      </w:pPr>
      <w:r>
        <w:tab/>
      </w:r>
      <w:r>
        <w:tab/>
      </w:r>
      <w:r>
        <w:tab/>
      </w:r>
      <w:r>
        <w:tab/>
      </w:r>
      <w:r>
        <w:tab/>
      </w:r>
      <w:r>
        <w:tab/>
      </w:r>
      <w:r>
        <w:tab/>
      </w:r>
      <w:r>
        <w:tab/>
      </w:r>
      <w:r>
        <w:tab/>
      </w:r>
      <w:r>
        <w:tab/>
      </w:r>
      <w:r>
        <w:tab/>
      </w:r>
      <w:r>
        <w:tab/>
      </w:r>
      <w:r>
        <w:tab/>
      </w:r>
      <w:r>
        <w:rPr>
          <w:noProof/>
        </w:rPr>
        <w:drawing>
          <wp:inline distT="0" distB="0" distL="0" distR="0" wp14:anchorId="5637D76F" wp14:editId="2089B87E">
            <wp:extent cx="675536" cy="838200"/>
            <wp:effectExtent l="0" t="0" r="0" b="0"/>
            <wp:docPr id="81607418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409" cy="847969"/>
                    </a:xfrm>
                    <a:prstGeom prst="rect">
                      <a:avLst/>
                    </a:prstGeom>
                    <a:noFill/>
                    <a:ln>
                      <a:noFill/>
                    </a:ln>
                  </pic:spPr>
                </pic:pic>
              </a:graphicData>
            </a:graphic>
          </wp:inline>
        </w:drawing>
      </w:r>
    </w:p>
    <w:p w14:paraId="3EDCEAA3" w14:textId="2E13C645" w:rsidR="00B56070" w:rsidRPr="004D5836" w:rsidRDefault="00B56070" w:rsidP="00A75C17">
      <w:pPr>
        <w:tabs>
          <w:tab w:val="left" w:pos="9498"/>
        </w:tabs>
        <w:autoSpaceDE w:val="0"/>
        <w:autoSpaceDN w:val="0"/>
        <w:adjustRightInd w:val="0"/>
      </w:pPr>
    </w:p>
    <w:sectPr w:rsidR="00B56070" w:rsidRPr="004D5836" w:rsidSect="004D583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229A1" w14:textId="77777777" w:rsidR="00734FE7" w:rsidRDefault="00734FE7" w:rsidP="00787CA9">
      <w:pPr>
        <w:spacing w:after="0" w:line="240" w:lineRule="auto"/>
      </w:pPr>
      <w:r>
        <w:separator/>
      </w:r>
    </w:p>
  </w:endnote>
  <w:endnote w:type="continuationSeparator" w:id="0">
    <w:p w14:paraId="14955A95" w14:textId="77777777" w:rsidR="00734FE7" w:rsidRDefault="00734FE7" w:rsidP="00787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7A306" w14:textId="77777777" w:rsidR="00734FE7" w:rsidRDefault="00734FE7" w:rsidP="00787CA9">
      <w:pPr>
        <w:spacing w:after="0" w:line="240" w:lineRule="auto"/>
      </w:pPr>
      <w:r>
        <w:separator/>
      </w:r>
    </w:p>
  </w:footnote>
  <w:footnote w:type="continuationSeparator" w:id="0">
    <w:p w14:paraId="2BFAE7DA" w14:textId="77777777" w:rsidR="00734FE7" w:rsidRDefault="00734FE7" w:rsidP="00787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9240C"/>
    <w:multiLevelType w:val="hybridMultilevel"/>
    <w:tmpl w:val="11625D5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D43310"/>
    <w:multiLevelType w:val="hybridMultilevel"/>
    <w:tmpl w:val="BD98E0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BB00417"/>
    <w:multiLevelType w:val="hybridMultilevel"/>
    <w:tmpl w:val="1494B0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FE1A93"/>
    <w:multiLevelType w:val="hybridMultilevel"/>
    <w:tmpl w:val="52BC72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63A9060D"/>
    <w:multiLevelType w:val="hybridMultilevel"/>
    <w:tmpl w:val="854C27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6B25A8"/>
    <w:multiLevelType w:val="hybridMultilevel"/>
    <w:tmpl w:val="6B8431E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7E9F6EA0"/>
    <w:multiLevelType w:val="hybridMultilevel"/>
    <w:tmpl w:val="922E95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72158730">
    <w:abstractNumId w:val="3"/>
  </w:num>
  <w:num w:numId="2" w16cid:durableId="1507356530">
    <w:abstractNumId w:val="4"/>
  </w:num>
  <w:num w:numId="3" w16cid:durableId="1328898510">
    <w:abstractNumId w:val="2"/>
  </w:num>
  <w:num w:numId="4" w16cid:durableId="504131552">
    <w:abstractNumId w:val="1"/>
  </w:num>
  <w:num w:numId="5" w16cid:durableId="426460282">
    <w:abstractNumId w:val="6"/>
  </w:num>
  <w:num w:numId="6" w16cid:durableId="789323219">
    <w:abstractNumId w:val="5"/>
  </w:num>
  <w:num w:numId="7" w16cid:durableId="797189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36"/>
    <w:rsid w:val="000408EA"/>
    <w:rsid w:val="00075E83"/>
    <w:rsid w:val="0007630B"/>
    <w:rsid w:val="0021398B"/>
    <w:rsid w:val="00217383"/>
    <w:rsid w:val="002277EB"/>
    <w:rsid w:val="00261319"/>
    <w:rsid w:val="002710B1"/>
    <w:rsid w:val="002A2FC9"/>
    <w:rsid w:val="002C2FB4"/>
    <w:rsid w:val="002D1FB0"/>
    <w:rsid w:val="002E7250"/>
    <w:rsid w:val="00312417"/>
    <w:rsid w:val="0032738A"/>
    <w:rsid w:val="00330141"/>
    <w:rsid w:val="0038149F"/>
    <w:rsid w:val="003E4945"/>
    <w:rsid w:val="004D5836"/>
    <w:rsid w:val="005109E6"/>
    <w:rsid w:val="00582E09"/>
    <w:rsid w:val="005F61C4"/>
    <w:rsid w:val="005F62DE"/>
    <w:rsid w:val="00605711"/>
    <w:rsid w:val="006428F5"/>
    <w:rsid w:val="00697C6E"/>
    <w:rsid w:val="00734FE7"/>
    <w:rsid w:val="00787CA9"/>
    <w:rsid w:val="007A69D6"/>
    <w:rsid w:val="007E4BE7"/>
    <w:rsid w:val="008B5672"/>
    <w:rsid w:val="00904DCA"/>
    <w:rsid w:val="009478D9"/>
    <w:rsid w:val="009C6C0C"/>
    <w:rsid w:val="009F013A"/>
    <w:rsid w:val="00A04902"/>
    <w:rsid w:val="00A75C17"/>
    <w:rsid w:val="00A942EF"/>
    <w:rsid w:val="00A97299"/>
    <w:rsid w:val="00AA078D"/>
    <w:rsid w:val="00AD4A4F"/>
    <w:rsid w:val="00AE7C1E"/>
    <w:rsid w:val="00B360EA"/>
    <w:rsid w:val="00B56070"/>
    <w:rsid w:val="00B970B1"/>
    <w:rsid w:val="00BF1BB8"/>
    <w:rsid w:val="00BF4084"/>
    <w:rsid w:val="00CA027E"/>
    <w:rsid w:val="00CA439A"/>
    <w:rsid w:val="00CF65EF"/>
    <w:rsid w:val="00D46D74"/>
    <w:rsid w:val="00DE56AC"/>
    <w:rsid w:val="00E10AF6"/>
    <w:rsid w:val="00E12EF1"/>
    <w:rsid w:val="00E374D3"/>
    <w:rsid w:val="00E463FA"/>
    <w:rsid w:val="00ED1559"/>
    <w:rsid w:val="00EF53A5"/>
    <w:rsid w:val="00F2496E"/>
    <w:rsid w:val="00F43362"/>
    <w:rsid w:val="00FB4A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FEF6"/>
  <w15:chartTrackingRefBased/>
  <w15:docId w15:val="{A5726CA5-0207-4AA9-A19D-84EB54C4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unhideWhenUsed/>
    <w:rsid w:val="004D5836"/>
    <w:pPr>
      <w:spacing w:after="0" w:line="24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4D5836"/>
    <w:rPr>
      <w:rFonts w:ascii="Arial" w:eastAsia="Times New Roman" w:hAnsi="Arial" w:cs="Arial"/>
      <w:sz w:val="20"/>
      <w:szCs w:val="20"/>
      <w:lang w:eastAsia="cs-CZ"/>
    </w:rPr>
  </w:style>
  <w:style w:type="character" w:customStyle="1" w:styleId="OdstavecseseznamemChar">
    <w:name w:val="Odstavec se seznamem Char"/>
    <w:link w:val="Odstavecseseznamem"/>
    <w:uiPriority w:val="34"/>
    <w:locked/>
    <w:rsid w:val="004D5836"/>
    <w:rPr>
      <w:rFonts w:ascii="Arial" w:hAnsi="Arial" w:cs="Arial"/>
      <w:sz w:val="24"/>
      <w:lang w:eastAsia="ar-SA"/>
    </w:rPr>
  </w:style>
  <w:style w:type="paragraph" w:styleId="Odstavecseseznamem">
    <w:name w:val="List Paragraph"/>
    <w:basedOn w:val="Normln"/>
    <w:link w:val="OdstavecseseznamemChar"/>
    <w:uiPriority w:val="34"/>
    <w:qFormat/>
    <w:rsid w:val="004D5836"/>
    <w:pPr>
      <w:suppressAutoHyphens/>
      <w:spacing w:after="0" w:line="240" w:lineRule="auto"/>
      <w:ind w:left="720"/>
      <w:contextualSpacing/>
    </w:pPr>
    <w:rPr>
      <w:rFonts w:ascii="Arial" w:hAnsi="Arial" w:cs="Arial"/>
      <w:sz w:val="24"/>
      <w:lang w:eastAsia="ar-SA"/>
    </w:rPr>
  </w:style>
  <w:style w:type="paragraph" w:customStyle="1" w:styleId="Popisky">
    <w:name w:val="Popisky"/>
    <w:rsid w:val="004D5836"/>
    <w:pPr>
      <w:spacing w:after="0" w:line="240" w:lineRule="auto"/>
    </w:pPr>
    <w:rPr>
      <w:rFonts w:ascii="Arial" w:eastAsia="Times New Roman" w:hAnsi="Arial" w:cs="Times New Roman"/>
      <w:sz w:val="20"/>
      <w:szCs w:val="20"/>
      <w:lang w:eastAsia="cs-CZ"/>
    </w:rPr>
  </w:style>
  <w:style w:type="character" w:customStyle="1" w:styleId="ListParagraphChar">
    <w:name w:val="List Paragraph Char"/>
    <w:link w:val="Odstavecseseznamem1"/>
    <w:locked/>
    <w:rsid w:val="004D5836"/>
    <w:rPr>
      <w:rFonts w:ascii="Calibri" w:hAnsi="Calibri" w:cs="Calibri"/>
    </w:rPr>
  </w:style>
  <w:style w:type="paragraph" w:customStyle="1" w:styleId="Odstavecseseznamem1">
    <w:name w:val="Odstavec se seznamem1"/>
    <w:basedOn w:val="Normln"/>
    <w:link w:val="ListParagraphChar"/>
    <w:rsid w:val="004D5836"/>
    <w:pPr>
      <w:spacing w:line="256" w:lineRule="auto"/>
      <w:ind w:left="720"/>
    </w:pPr>
    <w:rPr>
      <w:rFonts w:ascii="Calibri" w:hAnsi="Calibri" w:cs="Calibri"/>
    </w:rPr>
  </w:style>
  <w:style w:type="paragraph" w:styleId="Zkladntext">
    <w:name w:val="Body Text"/>
    <w:basedOn w:val="Normln"/>
    <w:link w:val="ZkladntextChar"/>
    <w:semiHidden/>
    <w:unhideWhenUsed/>
    <w:rsid w:val="004D5836"/>
    <w:pPr>
      <w:spacing w:after="0" w:line="240" w:lineRule="auto"/>
      <w:jc w:val="both"/>
    </w:pPr>
    <w:rPr>
      <w:rFonts w:ascii="Arial" w:eastAsia="Times New Roman" w:hAnsi="Arial" w:cs="Arial"/>
      <w:sz w:val="24"/>
      <w:szCs w:val="24"/>
      <w:lang w:eastAsia="cs-CZ"/>
    </w:rPr>
  </w:style>
  <w:style w:type="character" w:customStyle="1" w:styleId="ZkladntextChar">
    <w:name w:val="Základní text Char"/>
    <w:basedOn w:val="Standardnpsmoodstavce"/>
    <w:link w:val="Zkladntext"/>
    <w:semiHidden/>
    <w:rsid w:val="004D5836"/>
    <w:rPr>
      <w:rFonts w:ascii="Arial" w:eastAsia="Times New Roman" w:hAnsi="Arial" w:cs="Arial"/>
      <w:sz w:val="24"/>
      <w:szCs w:val="24"/>
      <w:lang w:eastAsia="cs-CZ"/>
    </w:rPr>
  </w:style>
  <w:style w:type="character" w:styleId="Hypertextovodkaz">
    <w:name w:val="Hyperlink"/>
    <w:basedOn w:val="Standardnpsmoodstavce"/>
    <w:uiPriority w:val="99"/>
    <w:unhideWhenUsed/>
    <w:rsid w:val="004D5836"/>
    <w:rPr>
      <w:color w:val="0563C1" w:themeColor="hyperlink"/>
      <w:u w:val="single"/>
    </w:rPr>
  </w:style>
  <w:style w:type="character" w:styleId="Nevyeenzmnka">
    <w:name w:val="Unresolved Mention"/>
    <w:basedOn w:val="Standardnpsmoodstavce"/>
    <w:uiPriority w:val="99"/>
    <w:semiHidden/>
    <w:unhideWhenUsed/>
    <w:rsid w:val="004D5836"/>
    <w:rPr>
      <w:color w:val="605E5C"/>
      <w:shd w:val="clear" w:color="auto" w:fill="E1DFDD"/>
    </w:rPr>
  </w:style>
  <w:style w:type="character" w:styleId="Odkaznakoment">
    <w:name w:val="annotation reference"/>
    <w:uiPriority w:val="99"/>
    <w:semiHidden/>
    <w:unhideWhenUsed/>
    <w:rsid w:val="00AE7C1E"/>
    <w:rPr>
      <w:sz w:val="16"/>
      <w:szCs w:val="16"/>
    </w:rPr>
  </w:style>
  <w:style w:type="paragraph" w:styleId="Textbubliny">
    <w:name w:val="Balloon Text"/>
    <w:basedOn w:val="Normln"/>
    <w:link w:val="TextbublinyChar"/>
    <w:uiPriority w:val="99"/>
    <w:semiHidden/>
    <w:unhideWhenUsed/>
    <w:rsid w:val="00AE7C1E"/>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AE7C1E"/>
    <w:rPr>
      <w:rFonts w:ascii="Times New Roman" w:hAnsi="Times New Roman" w:cs="Times New Roman"/>
      <w:sz w:val="18"/>
      <w:szCs w:val="18"/>
    </w:rPr>
  </w:style>
  <w:style w:type="character" w:styleId="Znakapoznpodarou">
    <w:name w:val="footnote reference"/>
    <w:semiHidden/>
    <w:rsid w:val="00787CA9"/>
    <w:rPr>
      <w:vertAlign w:val="superscript"/>
    </w:rPr>
  </w:style>
  <w:style w:type="paragraph" w:styleId="Textpoznpodarou">
    <w:name w:val="footnote text"/>
    <w:basedOn w:val="Normln"/>
    <w:link w:val="TextpoznpodarouChar"/>
    <w:semiHidden/>
    <w:rsid w:val="00787CA9"/>
    <w:pPr>
      <w:tabs>
        <w:tab w:val="left" w:pos="425"/>
      </w:tabs>
      <w:spacing w:after="0" w:line="240" w:lineRule="auto"/>
      <w:ind w:left="425" w:hanging="425"/>
      <w:jc w:val="both"/>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787CA9"/>
    <w:rPr>
      <w:rFonts w:ascii="Times New Roman" w:eastAsia="Times New Roman" w:hAnsi="Times New Roman" w:cs="Times New Roman"/>
      <w:sz w:val="20"/>
      <w:szCs w:val="20"/>
      <w:lang w:eastAsia="cs-CZ"/>
    </w:rPr>
  </w:style>
  <w:style w:type="paragraph" w:styleId="Normlnweb">
    <w:name w:val="Normal (Web)"/>
    <w:basedOn w:val="Normln"/>
    <w:uiPriority w:val="99"/>
    <w:semiHidden/>
    <w:unhideWhenUsed/>
    <w:rsid w:val="00B5607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54254">
      <w:bodyDiv w:val="1"/>
      <w:marLeft w:val="0"/>
      <w:marRight w:val="0"/>
      <w:marTop w:val="0"/>
      <w:marBottom w:val="0"/>
      <w:divBdr>
        <w:top w:val="none" w:sz="0" w:space="0" w:color="auto"/>
        <w:left w:val="none" w:sz="0" w:space="0" w:color="auto"/>
        <w:bottom w:val="none" w:sz="0" w:space="0" w:color="auto"/>
        <w:right w:val="none" w:sz="0" w:space="0" w:color="auto"/>
      </w:divBdr>
    </w:div>
    <w:div w:id="1646470918">
      <w:bodyDiv w:val="1"/>
      <w:marLeft w:val="0"/>
      <w:marRight w:val="0"/>
      <w:marTop w:val="0"/>
      <w:marBottom w:val="0"/>
      <w:divBdr>
        <w:top w:val="none" w:sz="0" w:space="0" w:color="auto"/>
        <w:left w:val="none" w:sz="0" w:space="0" w:color="auto"/>
        <w:bottom w:val="none" w:sz="0" w:space="0" w:color="auto"/>
        <w:right w:val="none" w:sz="0" w:space="0" w:color="auto"/>
      </w:divBdr>
    </w:div>
    <w:div w:id="180677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1468</Words>
  <Characters>8666</Characters>
  <Application>Microsoft Office Word</Application>
  <DocSecurity>4</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Ševčík</dc:creator>
  <cp:keywords/>
  <dc:description/>
  <cp:lastModifiedBy>Hana Matyasova</cp:lastModifiedBy>
  <cp:revision>2</cp:revision>
  <dcterms:created xsi:type="dcterms:W3CDTF">2024-07-08T10:41:00Z</dcterms:created>
  <dcterms:modified xsi:type="dcterms:W3CDTF">2024-07-08T10:41:00Z</dcterms:modified>
</cp:coreProperties>
</file>