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77777777" w:rsidR="00CD5A5C" w:rsidRDefault="00CD5A5C">
      <w:pPr>
        <w:pStyle w:val="Nzev"/>
        <w:pBdr>
          <w:bottom w:val="none" w:sz="0" w:space="0" w:color="auto"/>
        </w:pBdr>
        <w:jc w:val="left"/>
        <w:rPr>
          <w:rFonts w:ascii="Arial" w:hAnsi="Arial"/>
        </w:rPr>
      </w:pPr>
    </w:p>
    <w:p w14:paraId="18271603" w14:textId="77777777" w:rsidR="00CD5A5C" w:rsidRDefault="00E30833" w:rsidP="0064259D">
      <w:pPr>
        <w:pStyle w:val="Nzev"/>
        <w:pBdr>
          <w:bottom w:val="none" w:sz="0" w:space="0" w:color="auto"/>
        </w:pBdr>
        <w:jc w:val="left"/>
        <w:rPr>
          <w:rFonts w:ascii="Arial" w:hAnsi="Arial"/>
          <w:sz w:val="24"/>
        </w:rPr>
      </w:pPr>
      <w:r>
        <w:rPr>
          <w:b w:val="0"/>
          <w:i w:val="0"/>
          <w:noProof/>
        </w:rPr>
        <w:drawing>
          <wp:anchor distT="0" distB="0" distL="114300" distR="114300" simplePos="0" relativeHeight="251657728" behindDoc="0" locked="0" layoutInCell="0" allowOverlap="1" wp14:anchorId="761718AB" wp14:editId="6F1A5732">
            <wp:simplePos x="0" y="0"/>
            <wp:positionH relativeFrom="column">
              <wp:posOffset>746125</wp:posOffset>
            </wp:positionH>
            <wp:positionV relativeFrom="paragraph">
              <wp:posOffset>-98425</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r w:rsidR="00CD5A5C">
        <w:rPr>
          <w:rFonts w:ascii="Arial" w:hAnsi="Arial"/>
          <w:sz w:val="24"/>
        </w:rPr>
        <w:t>Konfederace</w:t>
      </w:r>
    </w:p>
    <w:p w14:paraId="2E843A72" w14:textId="77777777"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77777777"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3683FA98" w14:textId="77777777" w:rsidR="00B411A7" w:rsidRPr="00B411A7" w:rsidRDefault="00B411A7" w:rsidP="007A2819">
      <w:pPr>
        <w:jc w:val="center"/>
        <w:rPr>
          <w:rFonts w:ascii="Calibri" w:hAnsi="Calibri" w:cs="Arial"/>
          <w:b/>
          <w:bCs/>
          <w:sz w:val="16"/>
          <w:szCs w:val="16"/>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7C99619E" w:rsidR="00D442C1"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655DC2" w:rsidRPr="00655DC2">
        <w:rPr>
          <w:rFonts w:asciiTheme="minorHAnsi" w:hAnsiTheme="minorHAnsi" w:cstheme="minorHAnsi"/>
          <w:b/>
          <w:bCs/>
          <w:sz w:val="24"/>
          <w:szCs w:val="24"/>
        </w:rPr>
        <w:t>Návrh</w:t>
      </w:r>
      <w:r w:rsidR="00655DC2">
        <w:rPr>
          <w:rFonts w:asciiTheme="minorHAnsi" w:hAnsiTheme="minorHAnsi" w:cstheme="minorHAnsi"/>
          <w:b/>
          <w:bCs/>
          <w:sz w:val="24"/>
          <w:szCs w:val="24"/>
        </w:rPr>
        <w:t xml:space="preserve">u </w:t>
      </w:r>
      <w:r w:rsidR="00655DC2" w:rsidRPr="00655DC2">
        <w:rPr>
          <w:rFonts w:asciiTheme="minorHAnsi" w:hAnsiTheme="minorHAnsi" w:cstheme="minorHAnsi"/>
          <w:b/>
          <w:bCs/>
          <w:sz w:val="24"/>
          <w:szCs w:val="24"/>
        </w:rPr>
        <w:t>zákona, kterým se mění zákon č. 143/2001 Sb., o ochraně hospodářské soutěže a o změně některých zákonů (zákon o ochraně hospodářské soutěže), ve znění pozdějších předpisů</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2DE4E247" w:rsidR="00DD03DC" w:rsidRPr="002D6E64" w:rsidRDefault="00DD03DC" w:rsidP="002D6E64">
      <w:pPr>
        <w:ind w:firstLine="708"/>
        <w:jc w:val="both"/>
        <w:rPr>
          <w:rFonts w:asciiTheme="minorHAnsi" w:hAnsiTheme="minorHAnsi" w:cstheme="minorHAnsi"/>
          <w:sz w:val="24"/>
          <w:szCs w:val="24"/>
        </w:rPr>
      </w:pPr>
      <w:r w:rsidRPr="00C50846">
        <w:rPr>
          <w:rFonts w:asciiTheme="minorHAnsi" w:hAnsiTheme="minorHAnsi" w:cstheme="minorHAnsi"/>
          <w:sz w:val="24"/>
          <w:szCs w:val="24"/>
        </w:rPr>
        <w:t xml:space="preserve">V rámci </w:t>
      </w:r>
      <w:r w:rsidRPr="002D6E64">
        <w:rPr>
          <w:rFonts w:asciiTheme="minorHAnsi" w:hAnsiTheme="minorHAnsi" w:cstheme="minorHAnsi"/>
          <w:sz w:val="24"/>
          <w:szCs w:val="24"/>
        </w:rPr>
        <w:t>mezirezortního připomínkového řízení jsme obdrželi uvedený návrh. K němu Konfederace zaměstnavatelských a podnikatelských svazů ČR (KZPS ČR) uplatňuje následující doporu</w:t>
      </w:r>
      <w:r w:rsidR="00C50846" w:rsidRPr="002D6E64">
        <w:rPr>
          <w:rFonts w:asciiTheme="minorHAnsi" w:hAnsiTheme="minorHAnsi" w:cstheme="minorHAnsi"/>
          <w:sz w:val="24"/>
          <w:szCs w:val="24"/>
        </w:rPr>
        <w:t xml:space="preserve">čující a zásadní </w:t>
      </w:r>
      <w:r w:rsidRPr="002D6E64">
        <w:rPr>
          <w:rFonts w:asciiTheme="minorHAnsi" w:hAnsiTheme="minorHAnsi" w:cstheme="minorHAnsi"/>
          <w:sz w:val="24"/>
          <w:szCs w:val="24"/>
        </w:rPr>
        <w:t>připomínky:</w:t>
      </w:r>
    </w:p>
    <w:p w14:paraId="1B717ACD" w14:textId="6B80D5FF" w:rsidR="00320994" w:rsidRPr="002D6E64" w:rsidRDefault="00320994" w:rsidP="002D6E64">
      <w:pPr>
        <w:jc w:val="both"/>
        <w:rPr>
          <w:rFonts w:asciiTheme="minorHAnsi" w:hAnsiTheme="minorHAnsi" w:cstheme="minorHAnsi"/>
          <w:b/>
          <w:bCs/>
          <w:sz w:val="24"/>
          <w:szCs w:val="24"/>
        </w:rPr>
      </w:pPr>
    </w:p>
    <w:p w14:paraId="51E6B255" w14:textId="77777777" w:rsidR="002D6E64" w:rsidRPr="002D6E64" w:rsidRDefault="002D6E64" w:rsidP="002D6E64">
      <w:pPr>
        <w:pStyle w:val="Bezmezer"/>
        <w:rPr>
          <w:rFonts w:asciiTheme="minorHAnsi" w:hAnsiTheme="minorHAnsi" w:cstheme="minorHAnsi"/>
          <w:b/>
          <w:sz w:val="24"/>
          <w:szCs w:val="24"/>
        </w:rPr>
      </w:pPr>
    </w:p>
    <w:p w14:paraId="01A2F437" w14:textId="77777777" w:rsidR="002D6E64" w:rsidRPr="002D6E64" w:rsidRDefault="002D6E64" w:rsidP="00405ECD">
      <w:pPr>
        <w:pStyle w:val="Nadpis1"/>
        <w:spacing w:line="240" w:lineRule="auto"/>
        <w:jc w:val="left"/>
        <w:rPr>
          <w:rFonts w:asciiTheme="minorHAnsi" w:hAnsiTheme="minorHAnsi" w:cstheme="minorHAnsi"/>
          <w:sz w:val="24"/>
        </w:rPr>
      </w:pPr>
      <w:r w:rsidRPr="002D6E64">
        <w:rPr>
          <w:rFonts w:asciiTheme="minorHAnsi" w:hAnsiTheme="minorHAnsi" w:cstheme="minorHAnsi"/>
          <w:sz w:val="24"/>
        </w:rPr>
        <w:t>K bodu 26 (§ 21ba): navrhujeme tento bod zcela vypustit či alternativně zúžit pouze na případy podnětů ve věci zneužití dominantního postavení.</w:t>
      </w:r>
    </w:p>
    <w:p w14:paraId="637FA39E" w14:textId="77777777" w:rsidR="002D6E64" w:rsidRPr="002D6E64" w:rsidRDefault="002D6E64" w:rsidP="002D6E64">
      <w:pPr>
        <w:pStyle w:val="Nadpis2"/>
        <w:spacing w:line="240" w:lineRule="auto"/>
        <w:rPr>
          <w:rFonts w:asciiTheme="minorHAnsi" w:hAnsiTheme="minorHAnsi" w:cstheme="minorHAnsi"/>
        </w:rPr>
      </w:pPr>
    </w:p>
    <w:p w14:paraId="5B9F7F89" w14:textId="77777777" w:rsidR="002D6E64" w:rsidRPr="006B75C1" w:rsidRDefault="002D6E64" w:rsidP="00783098">
      <w:pPr>
        <w:pStyle w:val="Nadpis3"/>
        <w:spacing w:line="240" w:lineRule="auto"/>
        <w:ind w:left="0"/>
        <w:rPr>
          <w:rFonts w:asciiTheme="minorHAnsi" w:hAnsiTheme="minorHAnsi" w:cstheme="minorHAnsi"/>
          <w:b w:val="0"/>
          <w:bCs w:val="0"/>
          <w:i/>
          <w:iCs/>
          <w:u w:val="none"/>
        </w:rPr>
      </w:pPr>
      <w:r w:rsidRPr="006B75C1">
        <w:rPr>
          <w:rFonts w:asciiTheme="minorHAnsi" w:hAnsiTheme="minorHAnsi" w:cstheme="minorHAnsi"/>
          <w:b w:val="0"/>
          <w:bCs w:val="0"/>
          <w:u w:val="none"/>
        </w:rPr>
        <w:t>Podání podnětu v kontextu ZOHS může být prostředkem konkurenčního boje. Nemožnost vyjádřit se k osobě podatele podnětu a zpochybňovat jeho věrohodnost či důvěryhodnost významně zasahuje do práva na řádnou obhajobu, a narušuje tak i právo na spravedlivý proces. Návrh je v tomto ohledu nekoncepční vzhledem k projednávanému návrhu zákona o ochraně oznamovatelů. Navíc na rozdíl od zákona o významné tržní síle není v situacích upravovaných ZOHS dán vztah závislosti mezi soutěžiteli, který by zavedení tohoto institutu odůvodňoval, případně s výjimkou situací, kdy se jedná o zneužití dominantního postavení.</w:t>
      </w:r>
    </w:p>
    <w:p w14:paraId="10EC916D" w14:textId="77777777" w:rsidR="002D6E64" w:rsidRPr="006B75C1" w:rsidRDefault="002D6E64" w:rsidP="002D6E64">
      <w:pPr>
        <w:pStyle w:val="Nadpis1"/>
        <w:spacing w:line="240" w:lineRule="auto"/>
        <w:ind w:left="567"/>
        <w:rPr>
          <w:rFonts w:asciiTheme="minorHAnsi" w:hAnsiTheme="minorHAnsi" w:cstheme="minorHAnsi"/>
          <w:b w:val="0"/>
          <w:bCs w:val="0"/>
          <w:sz w:val="24"/>
        </w:rPr>
      </w:pPr>
    </w:p>
    <w:p w14:paraId="105B69B4" w14:textId="77777777" w:rsidR="00C733D2" w:rsidRDefault="00C733D2" w:rsidP="00783098">
      <w:pPr>
        <w:pStyle w:val="Nadpis1"/>
        <w:spacing w:line="240" w:lineRule="auto"/>
        <w:jc w:val="left"/>
        <w:rPr>
          <w:rFonts w:asciiTheme="minorHAnsi" w:hAnsiTheme="minorHAnsi" w:cstheme="minorHAnsi"/>
          <w:sz w:val="24"/>
        </w:rPr>
      </w:pPr>
    </w:p>
    <w:p w14:paraId="5E93B03A" w14:textId="79496959" w:rsidR="002D6E64" w:rsidRPr="002D6E64" w:rsidRDefault="002D6E64" w:rsidP="00783098">
      <w:pPr>
        <w:pStyle w:val="Nadpis1"/>
        <w:spacing w:line="240" w:lineRule="auto"/>
        <w:jc w:val="left"/>
        <w:rPr>
          <w:rFonts w:asciiTheme="minorHAnsi" w:hAnsiTheme="minorHAnsi" w:cstheme="minorHAnsi"/>
          <w:b w:val="0"/>
          <w:bCs w:val="0"/>
          <w:sz w:val="24"/>
        </w:rPr>
      </w:pPr>
      <w:r w:rsidRPr="002D6E64">
        <w:rPr>
          <w:rFonts w:asciiTheme="minorHAnsi" w:hAnsiTheme="minorHAnsi" w:cstheme="minorHAnsi"/>
          <w:sz w:val="24"/>
        </w:rPr>
        <w:t xml:space="preserve">K bodu 35 (§ 21f odst. 5): navrhujeme tento bod zcela vypustit. </w:t>
      </w:r>
    </w:p>
    <w:p w14:paraId="62DC92A9" w14:textId="77777777" w:rsidR="002D6E64" w:rsidRPr="002D6E64" w:rsidRDefault="002D6E64" w:rsidP="002D6E64">
      <w:pPr>
        <w:pStyle w:val="Nadpis2"/>
        <w:spacing w:line="240" w:lineRule="auto"/>
        <w:rPr>
          <w:rFonts w:asciiTheme="minorHAnsi" w:hAnsiTheme="minorHAnsi" w:cstheme="minorHAnsi"/>
        </w:rPr>
      </w:pPr>
    </w:p>
    <w:p w14:paraId="09B73229" w14:textId="0B0B8415" w:rsidR="002D6E64" w:rsidRPr="006B75C1" w:rsidRDefault="002D6E64" w:rsidP="00C733D2">
      <w:pPr>
        <w:pStyle w:val="Nadpis3"/>
        <w:spacing w:line="240" w:lineRule="auto"/>
        <w:ind w:left="0"/>
        <w:rPr>
          <w:rFonts w:asciiTheme="minorHAnsi" w:hAnsiTheme="minorHAnsi" w:cstheme="minorHAnsi"/>
          <w:b w:val="0"/>
          <w:bCs w:val="0"/>
          <w:u w:val="none"/>
        </w:rPr>
      </w:pPr>
      <w:r w:rsidRPr="006B75C1">
        <w:rPr>
          <w:rFonts w:asciiTheme="minorHAnsi" w:hAnsiTheme="minorHAnsi" w:cstheme="minorHAnsi"/>
          <w:b w:val="0"/>
          <w:bCs w:val="0"/>
          <w:u w:val="none"/>
        </w:rPr>
        <w:t>Návrh rozšiřuje prostor pro Úřad v otázce prakticky libovolného určení prostor, kde bude šetření provedeno. Místní šetření je obdobou domovní prohlídky, kterou je možno nařídit také pouze pro přesně vymezené prostory. Není důvodu, proč by Úřad měl mít širší oprávnění než orgány činné v trestním řízení, které jsou povinny předmět domovní prohlídky přesně vymezit.</w:t>
      </w:r>
    </w:p>
    <w:p w14:paraId="53D6CFA7" w14:textId="77777777" w:rsidR="00A512BA" w:rsidRPr="00A512BA" w:rsidRDefault="00A512BA" w:rsidP="00A512BA"/>
    <w:p w14:paraId="6A9315E4" w14:textId="77777777" w:rsidR="002D6E64" w:rsidRPr="002D6E64" w:rsidRDefault="002D6E64" w:rsidP="006B75C1">
      <w:pPr>
        <w:pStyle w:val="Nadpis1"/>
        <w:spacing w:line="240" w:lineRule="auto"/>
        <w:jc w:val="left"/>
        <w:rPr>
          <w:rFonts w:asciiTheme="minorHAnsi" w:hAnsiTheme="minorHAnsi" w:cstheme="minorHAnsi"/>
          <w:sz w:val="24"/>
        </w:rPr>
      </w:pPr>
      <w:r w:rsidRPr="002D6E64">
        <w:rPr>
          <w:rFonts w:asciiTheme="minorHAnsi" w:hAnsiTheme="minorHAnsi" w:cstheme="minorHAnsi"/>
          <w:sz w:val="24"/>
        </w:rPr>
        <w:lastRenderedPageBreak/>
        <w:t>K bodu 36 (§ 21f odst. 7): navrhujeme zvážit úpravu i doby pro rozhodování v případném navazujícím řízení o kasační stížnosti před Nejvyšším správním řádem.</w:t>
      </w:r>
    </w:p>
    <w:p w14:paraId="27BBB40E" w14:textId="77777777" w:rsidR="002D6E64" w:rsidRPr="002D6E64" w:rsidRDefault="002D6E64" w:rsidP="002D6E64">
      <w:pPr>
        <w:pStyle w:val="Nadpis2"/>
        <w:spacing w:line="240" w:lineRule="auto"/>
        <w:rPr>
          <w:rFonts w:asciiTheme="minorHAnsi" w:hAnsiTheme="minorHAnsi" w:cstheme="minorHAnsi"/>
        </w:rPr>
      </w:pPr>
    </w:p>
    <w:p w14:paraId="37DD4A25" w14:textId="77777777" w:rsidR="002D6E64" w:rsidRPr="006B75C1" w:rsidRDefault="002D6E64" w:rsidP="00C733D2">
      <w:pPr>
        <w:pStyle w:val="Nadpis3"/>
        <w:spacing w:line="240" w:lineRule="auto"/>
        <w:ind w:left="0"/>
        <w:rPr>
          <w:rFonts w:asciiTheme="minorHAnsi" w:hAnsiTheme="minorHAnsi" w:cstheme="minorHAnsi"/>
          <w:b w:val="0"/>
          <w:bCs w:val="0"/>
          <w:i/>
          <w:iCs/>
          <w:u w:val="none"/>
        </w:rPr>
      </w:pPr>
      <w:r w:rsidRPr="006B75C1">
        <w:rPr>
          <w:rFonts w:asciiTheme="minorHAnsi" w:hAnsiTheme="minorHAnsi" w:cstheme="minorHAnsi"/>
          <w:b w:val="0"/>
          <w:bCs w:val="0"/>
          <w:u w:val="none"/>
        </w:rPr>
        <w:t xml:space="preserve">Návrh </w:t>
      </w:r>
      <w:proofErr w:type="gramStart"/>
      <w:r w:rsidRPr="006B75C1">
        <w:rPr>
          <w:rFonts w:asciiTheme="minorHAnsi" w:hAnsiTheme="minorHAnsi" w:cstheme="minorHAnsi"/>
          <w:b w:val="0"/>
          <w:bCs w:val="0"/>
          <w:u w:val="none"/>
        </w:rPr>
        <w:t>neřeší</w:t>
      </w:r>
      <w:proofErr w:type="gramEnd"/>
      <w:r w:rsidRPr="006B75C1">
        <w:rPr>
          <w:rFonts w:asciiTheme="minorHAnsi" w:hAnsiTheme="minorHAnsi" w:cstheme="minorHAnsi"/>
          <w:b w:val="0"/>
          <w:bCs w:val="0"/>
          <w:u w:val="none"/>
        </w:rPr>
        <w:t xml:space="preserve"> dobu pro případné navazující řízení o kasační stížnosti, což by mohlo být z hlediska účelu, pro který se lhůta zavádí, považováno za nedůsledné.</w:t>
      </w:r>
    </w:p>
    <w:p w14:paraId="3F7236DF" w14:textId="77777777" w:rsidR="002D6E64" w:rsidRPr="002D6E64" w:rsidRDefault="002D6E64" w:rsidP="002D6E64">
      <w:pPr>
        <w:pStyle w:val="Nadpis1"/>
        <w:spacing w:line="240" w:lineRule="auto"/>
        <w:ind w:left="567"/>
        <w:rPr>
          <w:rFonts w:asciiTheme="minorHAnsi" w:hAnsiTheme="minorHAnsi" w:cstheme="minorHAnsi"/>
          <w:sz w:val="24"/>
        </w:rPr>
      </w:pPr>
    </w:p>
    <w:p w14:paraId="0AAF6DC3" w14:textId="77777777" w:rsidR="00A512BA" w:rsidRPr="006B75C1" w:rsidRDefault="00A512BA" w:rsidP="002D6E64">
      <w:pPr>
        <w:pStyle w:val="Nadpis1"/>
        <w:spacing w:line="240" w:lineRule="auto"/>
        <w:rPr>
          <w:rFonts w:asciiTheme="minorHAnsi" w:hAnsiTheme="minorHAnsi" w:cstheme="minorHAnsi"/>
          <w:sz w:val="16"/>
          <w:szCs w:val="16"/>
        </w:rPr>
      </w:pPr>
    </w:p>
    <w:p w14:paraId="1BAFE327" w14:textId="30355FF8" w:rsidR="002D6E64" w:rsidRPr="002D6E64" w:rsidRDefault="002D6E64" w:rsidP="002D6E64">
      <w:pPr>
        <w:pStyle w:val="Nadpis1"/>
        <w:spacing w:line="240" w:lineRule="auto"/>
        <w:rPr>
          <w:rFonts w:asciiTheme="minorHAnsi" w:hAnsiTheme="minorHAnsi" w:cstheme="minorHAnsi"/>
          <w:b w:val="0"/>
          <w:sz w:val="24"/>
        </w:rPr>
      </w:pPr>
      <w:r w:rsidRPr="002D6E64">
        <w:rPr>
          <w:rFonts w:asciiTheme="minorHAnsi" w:hAnsiTheme="minorHAnsi" w:cstheme="minorHAnsi"/>
          <w:sz w:val="24"/>
        </w:rPr>
        <w:t xml:space="preserve">K bodu 27 a 38 (§ 21c odst. 1 a 3 a § 21ga): navrhujeme tyto body zcela vypustit, popřípadě doplnit záruky ochrany práv odposlouchávaných osob. </w:t>
      </w:r>
      <w:r w:rsidRPr="002D6E64">
        <w:rPr>
          <w:rFonts w:asciiTheme="minorHAnsi" w:hAnsiTheme="minorHAnsi" w:cstheme="minorHAnsi"/>
          <w:b w:val="0"/>
          <w:sz w:val="24"/>
        </w:rPr>
        <w:t xml:space="preserve">Tato připomínka je zásadní. </w:t>
      </w:r>
    </w:p>
    <w:p w14:paraId="2928439A" w14:textId="77777777" w:rsidR="002D6E64" w:rsidRPr="002D6E64" w:rsidRDefault="002D6E64" w:rsidP="002D6E64">
      <w:pPr>
        <w:pStyle w:val="Nadpis2"/>
        <w:spacing w:line="240" w:lineRule="auto"/>
        <w:rPr>
          <w:rFonts w:asciiTheme="minorHAnsi" w:hAnsiTheme="minorHAnsi" w:cstheme="minorHAnsi"/>
        </w:rPr>
      </w:pPr>
    </w:p>
    <w:p w14:paraId="08B63AAC" w14:textId="77777777" w:rsidR="002D6E64" w:rsidRPr="006B75C1" w:rsidRDefault="002D6E64" w:rsidP="00A512BA">
      <w:pPr>
        <w:pStyle w:val="Nadpis3"/>
        <w:spacing w:line="240" w:lineRule="auto"/>
        <w:ind w:left="0"/>
        <w:rPr>
          <w:rFonts w:asciiTheme="minorHAnsi" w:hAnsiTheme="minorHAnsi" w:cstheme="minorHAnsi"/>
          <w:b w:val="0"/>
          <w:bCs w:val="0"/>
          <w:i/>
          <w:iCs/>
          <w:u w:val="none"/>
        </w:rPr>
      </w:pPr>
      <w:r w:rsidRPr="006B75C1">
        <w:rPr>
          <w:rFonts w:asciiTheme="minorHAnsi" w:hAnsiTheme="minorHAnsi" w:cstheme="minorHAnsi"/>
          <w:b w:val="0"/>
          <w:bCs w:val="0"/>
          <w:u w:val="none"/>
        </w:rPr>
        <w:t>Odposlech je mimořádné opatření, které výrazně zasahuje do práv odposlouchávaných osob, trestní řád proto obsahuje komplexní úpravu zaručující ochranu práv odposlouchávaných osob, se kterou novela ZOHS nepočítá. Přitom například chybí procesní záruky kontroly zákonnosti pořízení odposlechů pro případ, že tyto byly pořízeny orgány činnými v trestním řízení a následně byly předány Úřadu, aniž by prošly kontrolou zákonnosti v trestním řízení.</w:t>
      </w:r>
    </w:p>
    <w:p w14:paraId="51F59626" w14:textId="77777777" w:rsidR="002D6E64" w:rsidRPr="006B75C1" w:rsidRDefault="002D6E64" w:rsidP="002D6E64">
      <w:pPr>
        <w:pStyle w:val="Nadpis1"/>
        <w:spacing w:line="240" w:lineRule="auto"/>
        <w:ind w:left="567"/>
        <w:rPr>
          <w:rFonts w:asciiTheme="minorHAnsi" w:hAnsiTheme="minorHAnsi" w:cstheme="minorHAnsi"/>
          <w:sz w:val="16"/>
          <w:szCs w:val="16"/>
        </w:rPr>
      </w:pPr>
    </w:p>
    <w:p w14:paraId="0330F4D7" w14:textId="77777777" w:rsidR="00A512BA" w:rsidRPr="006B75C1" w:rsidRDefault="00A512BA" w:rsidP="002D6E64">
      <w:pPr>
        <w:pStyle w:val="Nadpis1"/>
        <w:spacing w:line="240" w:lineRule="auto"/>
        <w:rPr>
          <w:rFonts w:asciiTheme="minorHAnsi" w:hAnsiTheme="minorHAnsi" w:cstheme="minorHAnsi"/>
          <w:sz w:val="16"/>
          <w:szCs w:val="16"/>
        </w:rPr>
      </w:pPr>
    </w:p>
    <w:p w14:paraId="558E1C73" w14:textId="43D95224" w:rsidR="002D6E64" w:rsidRPr="002D6E64" w:rsidRDefault="002D6E64" w:rsidP="00405ECD">
      <w:pPr>
        <w:pStyle w:val="Nadpis1"/>
        <w:spacing w:line="240" w:lineRule="auto"/>
        <w:jc w:val="left"/>
        <w:rPr>
          <w:rFonts w:asciiTheme="minorHAnsi" w:hAnsiTheme="minorHAnsi" w:cstheme="minorHAnsi"/>
          <w:sz w:val="24"/>
        </w:rPr>
      </w:pPr>
      <w:r w:rsidRPr="002D6E64">
        <w:rPr>
          <w:rFonts w:asciiTheme="minorHAnsi" w:hAnsiTheme="minorHAnsi" w:cstheme="minorHAnsi"/>
          <w:sz w:val="24"/>
        </w:rPr>
        <w:t>K bodu 47 (§ 22a odst. 5): navrhujeme, aby tato změna byla zohledněna rovněž v procesněprávní rovině.</w:t>
      </w:r>
    </w:p>
    <w:p w14:paraId="47E65027" w14:textId="77777777" w:rsidR="002D6E64" w:rsidRPr="006B75C1" w:rsidRDefault="002D6E64" w:rsidP="002D6E64">
      <w:pPr>
        <w:pStyle w:val="Nadpis2"/>
        <w:spacing w:line="240" w:lineRule="auto"/>
        <w:rPr>
          <w:rFonts w:asciiTheme="minorHAnsi" w:hAnsiTheme="minorHAnsi" w:cstheme="minorHAnsi"/>
          <w:sz w:val="16"/>
          <w:szCs w:val="16"/>
        </w:rPr>
      </w:pPr>
    </w:p>
    <w:p w14:paraId="644DF6B7" w14:textId="082D93B5" w:rsidR="002D6E64" w:rsidRPr="006B75C1" w:rsidRDefault="002D6E64" w:rsidP="00783098">
      <w:pPr>
        <w:pStyle w:val="Nadpis2"/>
        <w:spacing w:line="240" w:lineRule="auto"/>
        <w:rPr>
          <w:rFonts w:asciiTheme="minorHAnsi" w:hAnsiTheme="minorHAnsi" w:cstheme="minorHAnsi"/>
          <w:b w:val="0"/>
          <w:bCs w:val="0"/>
          <w:i/>
          <w:iCs/>
        </w:rPr>
      </w:pPr>
      <w:r w:rsidRPr="006B75C1">
        <w:rPr>
          <w:rFonts w:asciiTheme="minorHAnsi" w:hAnsiTheme="minorHAnsi" w:cstheme="minorHAnsi"/>
          <w:b w:val="0"/>
          <w:bCs w:val="0"/>
        </w:rPr>
        <w:t>Vznik právní povinnosti v podobě ručení členů sdružení za případnou pokutu uloženou samotnému sdružení ve smyslu § 22a odst. 5 návrhu nutně povede k tomu, že na takové členy sdružení bude nutno hledět jako na účastníky ve smyslu § 21a odst. 2 ZOHS. Členům sdružení, u nichž by měla být založena ručitelská povinnost, musí být poskytnuta možnost vyjádřit se během řízení k podstatě obvinění, a tedy i ke skutečnosti, která by jejich povinnost ručení za pokutu uloženou sdružení zakládala. Opačný přístup by byl porušením práva vyjádřit se k prováděným důkazům a práva na obhajobu.</w:t>
      </w:r>
    </w:p>
    <w:p w14:paraId="1DFEBB06" w14:textId="77777777" w:rsidR="002D6E64" w:rsidRPr="006B75C1" w:rsidRDefault="002D6E64" w:rsidP="002D6E64">
      <w:pPr>
        <w:pStyle w:val="Nadpis1"/>
        <w:spacing w:line="240" w:lineRule="auto"/>
        <w:ind w:left="567"/>
        <w:rPr>
          <w:rFonts w:asciiTheme="minorHAnsi" w:hAnsiTheme="minorHAnsi" w:cstheme="minorHAnsi"/>
          <w:sz w:val="16"/>
          <w:szCs w:val="16"/>
        </w:rPr>
      </w:pPr>
    </w:p>
    <w:p w14:paraId="1EE720D8" w14:textId="77777777" w:rsidR="00A512BA" w:rsidRPr="006B75C1" w:rsidRDefault="00A512BA" w:rsidP="002D6E64">
      <w:pPr>
        <w:pStyle w:val="Nadpis1"/>
        <w:spacing w:line="240" w:lineRule="auto"/>
        <w:rPr>
          <w:rFonts w:asciiTheme="minorHAnsi" w:hAnsiTheme="minorHAnsi" w:cstheme="minorHAnsi"/>
          <w:sz w:val="16"/>
          <w:szCs w:val="16"/>
        </w:rPr>
      </w:pPr>
    </w:p>
    <w:p w14:paraId="5059A846" w14:textId="578831B0" w:rsidR="002D6E64" w:rsidRPr="002D6E64" w:rsidRDefault="002D6E64" w:rsidP="002D6E64">
      <w:pPr>
        <w:pStyle w:val="Nadpis1"/>
        <w:spacing w:line="240" w:lineRule="auto"/>
        <w:rPr>
          <w:rFonts w:asciiTheme="minorHAnsi" w:hAnsiTheme="minorHAnsi" w:cstheme="minorHAnsi"/>
          <w:sz w:val="24"/>
        </w:rPr>
      </w:pPr>
      <w:r w:rsidRPr="002D6E64">
        <w:rPr>
          <w:rFonts w:asciiTheme="minorHAnsi" w:hAnsiTheme="minorHAnsi" w:cstheme="minorHAnsi"/>
          <w:sz w:val="24"/>
        </w:rPr>
        <w:t>K bodu 48 (§ 22a odst. 6): navrhujeme vypustit návrh doplňující věty v daném ustanovení, kterým by měla být zavedena možnost uložit zákaz plnění veřejných zakázek i subjektům, kteří se účastnili procedury narovnání.</w:t>
      </w:r>
    </w:p>
    <w:p w14:paraId="1A997021" w14:textId="77777777" w:rsidR="002D6E64" w:rsidRPr="002C6006" w:rsidRDefault="002D6E64" w:rsidP="002D6E64">
      <w:pPr>
        <w:pStyle w:val="Nadpis2"/>
        <w:spacing w:line="240" w:lineRule="auto"/>
        <w:rPr>
          <w:rFonts w:asciiTheme="minorHAnsi" w:hAnsiTheme="minorHAnsi" w:cstheme="minorHAnsi"/>
          <w:sz w:val="16"/>
          <w:szCs w:val="16"/>
        </w:rPr>
      </w:pPr>
    </w:p>
    <w:p w14:paraId="4CF45C73" w14:textId="65C71199" w:rsidR="002D6E64" w:rsidRPr="006B75C1" w:rsidRDefault="002D6E64" w:rsidP="00A512BA">
      <w:pPr>
        <w:pStyle w:val="Nadpis2"/>
        <w:spacing w:line="240" w:lineRule="auto"/>
        <w:rPr>
          <w:rFonts w:asciiTheme="minorHAnsi" w:hAnsiTheme="minorHAnsi" w:cstheme="minorHAnsi"/>
          <w:b w:val="0"/>
          <w:bCs w:val="0"/>
        </w:rPr>
      </w:pPr>
      <w:r w:rsidRPr="006B75C1">
        <w:rPr>
          <w:rFonts w:asciiTheme="minorHAnsi" w:hAnsiTheme="minorHAnsi" w:cstheme="minorHAnsi"/>
          <w:b w:val="0"/>
          <w:bCs w:val="0"/>
        </w:rPr>
        <w:t>Uložení zákazu plnění veřejných zakázek po dobu až jednoho roku může pro mnoho soutěžitelů znamenat ohrožení jejich existence. Nešlo by tedy o žádné „zmírnění“ sankce oproti tomu, kdy by se soutěžitel procedury narovnání vůbec neúčastnil. Předkladatelem navržená možnost sankce bude tedy odrazovat soutěžitele od účasti v proceduře narovnání.</w:t>
      </w:r>
    </w:p>
    <w:p w14:paraId="558B7D92" w14:textId="77777777" w:rsidR="002D6E64" w:rsidRPr="006B75C1" w:rsidRDefault="002D6E64" w:rsidP="002D6E64">
      <w:pPr>
        <w:pStyle w:val="Nadpis1"/>
        <w:spacing w:line="240" w:lineRule="auto"/>
        <w:ind w:left="567"/>
        <w:rPr>
          <w:rFonts w:asciiTheme="minorHAnsi" w:hAnsiTheme="minorHAnsi" w:cstheme="minorHAnsi"/>
          <w:sz w:val="16"/>
          <w:szCs w:val="16"/>
        </w:rPr>
      </w:pPr>
    </w:p>
    <w:p w14:paraId="14EE9569" w14:textId="77777777" w:rsidR="006B75C1" w:rsidRPr="006B75C1" w:rsidRDefault="006B75C1" w:rsidP="002D6E64">
      <w:pPr>
        <w:pStyle w:val="Nadpis1"/>
        <w:spacing w:line="240" w:lineRule="auto"/>
        <w:rPr>
          <w:rFonts w:asciiTheme="minorHAnsi" w:hAnsiTheme="minorHAnsi" w:cstheme="minorHAnsi"/>
          <w:sz w:val="16"/>
          <w:szCs w:val="16"/>
        </w:rPr>
      </w:pPr>
    </w:p>
    <w:p w14:paraId="635D230D" w14:textId="39FC08E9" w:rsidR="002D6E64" w:rsidRPr="002D6E64" w:rsidRDefault="002D6E64" w:rsidP="00405ECD">
      <w:pPr>
        <w:pStyle w:val="Nadpis1"/>
        <w:spacing w:line="240" w:lineRule="auto"/>
        <w:jc w:val="left"/>
        <w:rPr>
          <w:rFonts w:asciiTheme="minorHAnsi" w:hAnsiTheme="minorHAnsi" w:cstheme="minorHAnsi"/>
          <w:sz w:val="24"/>
        </w:rPr>
      </w:pPr>
      <w:r w:rsidRPr="002D6E64">
        <w:rPr>
          <w:rFonts w:asciiTheme="minorHAnsi" w:hAnsiTheme="minorHAnsi" w:cstheme="minorHAnsi"/>
          <w:sz w:val="24"/>
        </w:rPr>
        <w:t xml:space="preserve">K bodu 53 (§ 22b odst. 10): navrhujeme ustanovení upřesnit tak, aby nevyvolávalo výkladové nejasnosti. </w:t>
      </w:r>
    </w:p>
    <w:p w14:paraId="2D0B767B" w14:textId="77777777" w:rsidR="006B75C1" w:rsidRPr="006B75C1" w:rsidRDefault="006B75C1" w:rsidP="006B75C1">
      <w:pPr>
        <w:pStyle w:val="Nadpis2"/>
        <w:spacing w:line="240" w:lineRule="auto"/>
        <w:rPr>
          <w:rFonts w:asciiTheme="minorHAnsi" w:hAnsiTheme="minorHAnsi" w:cstheme="minorHAnsi"/>
          <w:sz w:val="16"/>
          <w:szCs w:val="16"/>
        </w:rPr>
      </w:pPr>
    </w:p>
    <w:p w14:paraId="053244C5" w14:textId="1F4F7372" w:rsidR="002D6E64" w:rsidRDefault="002D6E64" w:rsidP="006B75C1">
      <w:pPr>
        <w:pStyle w:val="Nadpis2"/>
        <w:spacing w:line="240" w:lineRule="auto"/>
        <w:rPr>
          <w:rFonts w:asciiTheme="minorHAnsi" w:hAnsiTheme="minorHAnsi" w:cstheme="minorHAnsi"/>
          <w:b w:val="0"/>
          <w:bCs w:val="0"/>
        </w:rPr>
      </w:pPr>
      <w:r w:rsidRPr="006B75C1">
        <w:rPr>
          <w:rFonts w:asciiTheme="minorHAnsi" w:hAnsiTheme="minorHAnsi" w:cstheme="minorHAnsi"/>
          <w:b w:val="0"/>
          <w:bCs w:val="0"/>
        </w:rPr>
        <w:t>Je nutné vyjasnit vztah navrhovaného ustanovení k § 42 správního řádu, který ukládá správnímu orgánu povinnost vyrozumět podatele podnětu, že mj. neshledal důvody k zahájení z moci úřední, požádá-li podatel podnětu o takové informování. Ze současného znění není jasné, zda je tato povinnost navrhovaným ustanovením § 22b odst. 10 vyloučena, což by být neměla.</w:t>
      </w:r>
    </w:p>
    <w:p w14:paraId="460CB07C" w14:textId="77777777" w:rsidR="00405ECD" w:rsidRPr="00405ECD" w:rsidRDefault="00405ECD" w:rsidP="00405ECD"/>
    <w:p w14:paraId="7484DF54" w14:textId="77777777" w:rsidR="002D6E64" w:rsidRPr="002D6E64" w:rsidRDefault="002D6E64" w:rsidP="002D6E64">
      <w:pPr>
        <w:pStyle w:val="Nadpis1"/>
        <w:spacing w:line="240" w:lineRule="auto"/>
        <w:ind w:left="567"/>
        <w:rPr>
          <w:rFonts w:asciiTheme="minorHAnsi" w:hAnsiTheme="minorHAnsi" w:cstheme="minorHAnsi"/>
          <w:sz w:val="24"/>
        </w:rPr>
      </w:pPr>
    </w:p>
    <w:p w14:paraId="0C22C59E" w14:textId="77777777" w:rsidR="002F514D" w:rsidRDefault="002D6E64" w:rsidP="002C6006">
      <w:pPr>
        <w:pStyle w:val="Nadpis1"/>
        <w:spacing w:line="240" w:lineRule="auto"/>
        <w:jc w:val="left"/>
        <w:rPr>
          <w:rFonts w:asciiTheme="minorHAnsi" w:hAnsiTheme="minorHAnsi" w:cstheme="minorHAnsi"/>
          <w:sz w:val="24"/>
        </w:rPr>
      </w:pPr>
      <w:r w:rsidRPr="002D6E64">
        <w:rPr>
          <w:rFonts w:asciiTheme="minorHAnsi" w:hAnsiTheme="minorHAnsi" w:cstheme="minorHAnsi"/>
          <w:sz w:val="24"/>
        </w:rPr>
        <w:t xml:space="preserve">K bodu 55 (§ 22bb): navrhujeme upravit odstavec 5 tohoto ustanovení tak, aby sleva z pokuty v případě úspěšného narovnání se rovnala </w:t>
      </w:r>
      <w:proofErr w:type="gramStart"/>
      <w:r w:rsidRPr="002D6E64">
        <w:rPr>
          <w:rFonts w:asciiTheme="minorHAnsi" w:hAnsiTheme="minorHAnsi" w:cstheme="minorHAnsi"/>
          <w:sz w:val="24"/>
        </w:rPr>
        <w:t>20%</w:t>
      </w:r>
      <w:proofErr w:type="gramEnd"/>
      <w:r w:rsidRPr="002D6E64">
        <w:rPr>
          <w:rFonts w:asciiTheme="minorHAnsi" w:hAnsiTheme="minorHAnsi" w:cstheme="minorHAnsi"/>
          <w:sz w:val="24"/>
        </w:rPr>
        <w:t xml:space="preserve"> jako v případě stávající úpravy. </w:t>
      </w:r>
    </w:p>
    <w:p w14:paraId="0A37FD80" w14:textId="77777777" w:rsidR="002F514D" w:rsidRDefault="002F514D" w:rsidP="002C6006">
      <w:pPr>
        <w:pStyle w:val="Nadpis1"/>
        <w:spacing w:line="240" w:lineRule="auto"/>
        <w:jc w:val="left"/>
        <w:rPr>
          <w:rFonts w:asciiTheme="minorHAnsi" w:hAnsiTheme="minorHAnsi" w:cstheme="minorHAnsi"/>
          <w:sz w:val="24"/>
        </w:rPr>
      </w:pPr>
    </w:p>
    <w:p w14:paraId="28788856" w14:textId="2D03EA15" w:rsidR="002D6E64" w:rsidRPr="002D6E64" w:rsidRDefault="002D6E64" w:rsidP="002C6006">
      <w:pPr>
        <w:pStyle w:val="Nadpis1"/>
        <w:spacing w:line="240" w:lineRule="auto"/>
        <w:jc w:val="left"/>
        <w:rPr>
          <w:rFonts w:asciiTheme="minorHAnsi" w:hAnsiTheme="minorHAnsi" w:cstheme="minorHAnsi"/>
          <w:b w:val="0"/>
          <w:bCs w:val="0"/>
          <w:sz w:val="24"/>
        </w:rPr>
      </w:pPr>
      <w:r w:rsidRPr="002C6006">
        <w:rPr>
          <w:rFonts w:asciiTheme="minorHAnsi" w:hAnsiTheme="minorHAnsi" w:cstheme="minorHAnsi"/>
          <w:sz w:val="24"/>
          <w:u w:val="single"/>
        </w:rPr>
        <w:t>Tato připomínka je zásadní</w:t>
      </w:r>
      <w:r w:rsidRPr="002D6E64">
        <w:rPr>
          <w:rFonts w:asciiTheme="minorHAnsi" w:hAnsiTheme="minorHAnsi" w:cstheme="minorHAnsi"/>
          <w:b w:val="0"/>
          <w:bCs w:val="0"/>
          <w:sz w:val="24"/>
        </w:rPr>
        <w:t>.</w:t>
      </w:r>
    </w:p>
    <w:p w14:paraId="33131798" w14:textId="77777777" w:rsidR="002D6E64" w:rsidRPr="002D6E64" w:rsidRDefault="002D6E64" w:rsidP="002D6E64">
      <w:pPr>
        <w:pStyle w:val="Nadpis2"/>
        <w:spacing w:line="240" w:lineRule="auto"/>
        <w:rPr>
          <w:rFonts w:asciiTheme="minorHAnsi" w:hAnsiTheme="minorHAnsi" w:cstheme="minorHAnsi"/>
        </w:rPr>
      </w:pPr>
    </w:p>
    <w:p w14:paraId="1C65B70C" w14:textId="6441335F" w:rsidR="002D6E64" w:rsidRPr="002F514D" w:rsidRDefault="002D6E64" w:rsidP="002F514D">
      <w:pPr>
        <w:pStyle w:val="Nadpis2"/>
        <w:spacing w:line="240" w:lineRule="auto"/>
        <w:rPr>
          <w:rFonts w:asciiTheme="minorHAnsi" w:hAnsiTheme="minorHAnsi" w:cstheme="minorHAnsi"/>
          <w:b w:val="0"/>
          <w:bCs w:val="0"/>
        </w:rPr>
      </w:pPr>
      <w:r w:rsidRPr="002D6E64">
        <w:rPr>
          <w:rFonts w:asciiTheme="minorHAnsi" w:hAnsiTheme="minorHAnsi" w:cstheme="minorHAnsi"/>
        </w:rPr>
        <w:t xml:space="preserve"> </w:t>
      </w:r>
      <w:r w:rsidRPr="002F514D">
        <w:rPr>
          <w:rFonts w:asciiTheme="minorHAnsi" w:hAnsiTheme="minorHAnsi" w:cstheme="minorHAnsi"/>
          <w:b w:val="0"/>
          <w:bCs w:val="0"/>
        </w:rPr>
        <w:t>Jedná se o změnu v neprospěch účastníků procesu narovnání. Navrhovaná úprava přináší nejistotu, k jakému snížení pokuty ve skutečnosti dojde. Aby bylo pro účastníka přijatelné akceptovat skutkové závěry a právní kvalifikaci Úřadu, musí být schopen srovnat tento ústupek s konkrétními výhodami, které mu přinese. I na unijní úrovni je sleva z pokuty v případě narovnání stanovena fixně.</w:t>
      </w:r>
    </w:p>
    <w:p w14:paraId="052BF897" w14:textId="77777777" w:rsidR="002D6E64" w:rsidRPr="002D6E64" w:rsidRDefault="002D6E64" w:rsidP="002D6E64">
      <w:pPr>
        <w:ind w:firstLine="708"/>
        <w:jc w:val="both"/>
        <w:rPr>
          <w:rFonts w:asciiTheme="minorHAnsi" w:hAnsiTheme="minorHAnsi" w:cstheme="minorHAnsi"/>
          <w:bCs/>
          <w:sz w:val="24"/>
          <w:szCs w:val="24"/>
        </w:rPr>
      </w:pPr>
    </w:p>
    <w:p w14:paraId="02EC794C" w14:textId="77777777" w:rsidR="002D6E64" w:rsidRPr="002D6E64" w:rsidRDefault="002D6E64" w:rsidP="002D6E64">
      <w:pPr>
        <w:jc w:val="both"/>
        <w:rPr>
          <w:rFonts w:asciiTheme="minorHAnsi" w:hAnsiTheme="minorHAnsi" w:cstheme="minorHAnsi"/>
          <w:sz w:val="24"/>
          <w:szCs w:val="24"/>
        </w:rPr>
      </w:pPr>
    </w:p>
    <w:p w14:paraId="2C4B0946" w14:textId="77777777" w:rsidR="0046655B" w:rsidRPr="002D6E64" w:rsidRDefault="0046655B" w:rsidP="002D6E64">
      <w:pPr>
        <w:jc w:val="both"/>
        <w:rPr>
          <w:rFonts w:asciiTheme="minorHAnsi" w:hAnsiTheme="minorHAnsi" w:cstheme="minorHAnsi"/>
          <w:sz w:val="24"/>
          <w:szCs w:val="24"/>
        </w:rPr>
      </w:pPr>
    </w:p>
    <w:p w14:paraId="4771BF7F" w14:textId="0AB1797B" w:rsidR="00116A85" w:rsidRPr="002D6E64" w:rsidRDefault="001932EA" w:rsidP="002D6E64">
      <w:pPr>
        <w:widowControl w:val="0"/>
        <w:autoSpaceDE w:val="0"/>
        <w:autoSpaceDN w:val="0"/>
        <w:adjustRightInd w:val="0"/>
        <w:jc w:val="both"/>
        <w:rPr>
          <w:rFonts w:asciiTheme="minorHAnsi" w:hAnsiTheme="minorHAnsi" w:cstheme="minorHAnsi"/>
          <w:sz w:val="24"/>
          <w:szCs w:val="24"/>
          <w:u w:val="single"/>
        </w:rPr>
      </w:pPr>
      <w:r w:rsidRPr="002D6E64">
        <w:rPr>
          <w:rFonts w:asciiTheme="minorHAnsi" w:hAnsiTheme="minorHAnsi" w:cstheme="minorHAnsi"/>
          <w:sz w:val="24"/>
          <w:szCs w:val="24"/>
          <w:u w:val="single"/>
        </w:rPr>
        <w:t>K</w:t>
      </w:r>
      <w:r w:rsidR="00116A85" w:rsidRPr="002D6E64">
        <w:rPr>
          <w:rFonts w:asciiTheme="minorHAnsi" w:hAnsiTheme="minorHAnsi" w:cstheme="minorHAnsi"/>
          <w:sz w:val="24"/>
          <w:szCs w:val="24"/>
          <w:u w:val="single"/>
        </w:rPr>
        <w:t>ontaktní osob</w:t>
      </w:r>
      <w:r w:rsidR="00C02026" w:rsidRPr="002D6E64">
        <w:rPr>
          <w:rFonts w:asciiTheme="minorHAnsi" w:hAnsiTheme="minorHAnsi" w:cstheme="minorHAnsi"/>
          <w:sz w:val="24"/>
          <w:szCs w:val="24"/>
          <w:u w:val="single"/>
        </w:rPr>
        <w:t>y</w:t>
      </w:r>
      <w:r w:rsidR="00116A85" w:rsidRPr="002D6E64">
        <w:rPr>
          <w:rFonts w:asciiTheme="minorHAnsi" w:hAnsiTheme="minorHAnsi" w:cstheme="minorHAnsi"/>
          <w:sz w:val="24"/>
          <w:szCs w:val="24"/>
          <w:u w:val="single"/>
        </w:rPr>
        <w:t>:</w:t>
      </w:r>
    </w:p>
    <w:p w14:paraId="42B3112F" w14:textId="706E7BEF" w:rsidR="00E73AD9" w:rsidRPr="002D6E64" w:rsidRDefault="00E73AD9" w:rsidP="002D6E64">
      <w:pPr>
        <w:jc w:val="both"/>
        <w:rPr>
          <w:rFonts w:asciiTheme="minorHAnsi" w:eastAsia="Calibri" w:hAnsiTheme="minorHAnsi" w:cstheme="minorHAnsi"/>
          <w:sz w:val="24"/>
          <w:szCs w:val="24"/>
          <w:lang w:eastAsia="en-US"/>
        </w:rPr>
      </w:pPr>
    </w:p>
    <w:p w14:paraId="6B3B55CB" w14:textId="5AD88321" w:rsidR="002F514D" w:rsidRPr="002D6E64" w:rsidRDefault="002F514D" w:rsidP="002F514D">
      <w:pPr>
        <w:pStyle w:val="Bezmezer"/>
        <w:rPr>
          <w:rFonts w:asciiTheme="minorHAnsi" w:hAnsiTheme="minorHAnsi" w:cstheme="minorHAnsi"/>
          <w:sz w:val="24"/>
          <w:szCs w:val="24"/>
        </w:rPr>
      </w:pPr>
      <w:bookmarkStart w:id="0" w:name="_GoBack"/>
      <w:bookmarkEnd w:id="0"/>
      <w:r w:rsidRPr="002D6E64">
        <w:rPr>
          <w:rFonts w:asciiTheme="minorHAnsi" w:hAnsiTheme="minorHAnsi" w:cstheme="minorHAnsi"/>
          <w:sz w:val="24"/>
          <w:szCs w:val="24"/>
        </w:rPr>
        <w:t>JUDr. Zdeněk Čáp</w:t>
      </w:r>
      <w:r w:rsidR="00663288">
        <w:rPr>
          <w:rFonts w:asciiTheme="minorHAnsi" w:hAnsiTheme="minorHAnsi" w:cstheme="minorHAnsi"/>
          <w:sz w:val="24"/>
          <w:szCs w:val="24"/>
        </w:rPr>
        <w:tab/>
      </w:r>
      <w:r w:rsidR="00663288">
        <w:rPr>
          <w:rFonts w:asciiTheme="minorHAnsi" w:hAnsiTheme="minorHAnsi" w:cstheme="minorHAnsi"/>
          <w:sz w:val="24"/>
          <w:szCs w:val="24"/>
        </w:rPr>
        <w:tab/>
      </w:r>
      <w:r w:rsidR="00663288">
        <w:rPr>
          <w:rFonts w:asciiTheme="minorHAnsi" w:hAnsiTheme="minorHAnsi" w:cstheme="minorHAnsi"/>
          <w:sz w:val="24"/>
          <w:szCs w:val="24"/>
        </w:rPr>
        <w:tab/>
      </w:r>
      <w:r w:rsidRPr="002D6E64">
        <w:rPr>
          <w:rFonts w:asciiTheme="minorHAnsi" w:hAnsiTheme="minorHAnsi" w:cstheme="minorHAnsi"/>
          <w:sz w:val="24"/>
          <w:szCs w:val="24"/>
        </w:rPr>
        <w:t xml:space="preserve">e-mail: </w:t>
      </w:r>
      <w:hyperlink r:id="rId11" w:history="1">
        <w:r w:rsidRPr="002D6E64">
          <w:rPr>
            <w:rStyle w:val="Hypertextovodkaz"/>
            <w:rFonts w:asciiTheme="minorHAnsi" w:hAnsiTheme="minorHAnsi" w:cstheme="minorHAnsi"/>
            <w:sz w:val="24"/>
            <w:szCs w:val="24"/>
          </w:rPr>
          <w:t>cap@scmvd.cz</w:t>
        </w:r>
      </w:hyperlink>
      <w:r w:rsidR="00663288">
        <w:rPr>
          <w:rFonts w:asciiTheme="minorHAnsi" w:hAnsiTheme="minorHAnsi" w:cstheme="minorHAnsi"/>
          <w:sz w:val="24"/>
          <w:szCs w:val="24"/>
        </w:rPr>
        <w:tab/>
      </w:r>
      <w:r w:rsidR="00663288">
        <w:rPr>
          <w:rFonts w:asciiTheme="minorHAnsi" w:hAnsiTheme="minorHAnsi" w:cstheme="minorHAnsi"/>
          <w:sz w:val="24"/>
          <w:szCs w:val="24"/>
        </w:rPr>
        <w:tab/>
        <w:t>tel?</w:t>
      </w:r>
      <w:r w:rsidR="00663288">
        <w:rPr>
          <w:rFonts w:asciiTheme="minorHAnsi" w:hAnsiTheme="minorHAnsi" w:cstheme="minorHAnsi"/>
          <w:sz w:val="24"/>
          <w:szCs w:val="24"/>
        </w:rPr>
        <w:tab/>
        <w:t>224 109 314</w:t>
      </w:r>
      <w:r w:rsidRPr="002D6E64">
        <w:rPr>
          <w:rFonts w:asciiTheme="minorHAnsi" w:hAnsiTheme="minorHAnsi" w:cstheme="minorHAnsi"/>
          <w:sz w:val="24"/>
          <w:szCs w:val="24"/>
        </w:rPr>
        <w:t xml:space="preserve">  </w:t>
      </w:r>
    </w:p>
    <w:p w14:paraId="6AA718CE" w14:textId="6C2301A8" w:rsidR="00116A85" w:rsidRPr="002D6E64" w:rsidRDefault="00B17C0F" w:rsidP="002D6E64">
      <w:pPr>
        <w:pStyle w:val="indent"/>
        <w:shd w:val="clear" w:color="auto" w:fill="FFFFFF"/>
        <w:spacing w:before="0" w:after="0"/>
        <w:ind w:firstLine="0"/>
        <w:textAlignment w:val="top"/>
        <w:rPr>
          <w:rFonts w:asciiTheme="minorHAnsi" w:hAnsiTheme="minorHAnsi" w:cstheme="minorHAnsi"/>
        </w:rPr>
      </w:pPr>
      <w:r w:rsidRPr="002D6E64">
        <w:rPr>
          <w:rFonts w:asciiTheme="minorHAnsi" w:hAnsiTheme="minorHAnsi" w:cstheme="minorHAnsi"/>
        </w:rPr>
        <w:t>Dr.</w:t>
      </w:r>
      <w:r w:rsidR="00116A85" w:rsidRPr="002D6E64">
        <w:rPr>
          <w:rFonts w:asciiTheme="minorHAnsi" w:hAnsiTheme="minorHAnsi" w:cstheme="minorHAnsi"/>
        </w:rPr>
        <w:t xml:space="preserve"> Jan Zikeš</w:t>
      </w:r>
      <w:r w:rsidR="00C02026" w:rsidRPr="002D6E64">
        <w:rPr>
          <w:rFonts w:asciiTheme="minorHAnsi" w:hAnsiTheme="minorHAnsi" w:cstheme="minorHAnsi"/>
        </w:rPr>
        <w:tab/>
      </w:r>
      <w:r w:rsidR="00C02026" w:rsidRPr="002D6E64">
        <w:rPr>
          <w:rFonts w:asciiTheme="minorHAnsi" w:hAnsiTheme="minorHAnsi" w:cstheme="minorHAnsi"/>
        </w:rPr>
        <w:tab/>
      </w:r>
      <w:r w:rsidR="007D6A55" w:rsidRPr="002D6E64">
        <w:rPr>
          <w:rFonts w:asciiTheme="minorHAnsi" w:hAnsiTheme="minorHAnsi" w:cstheme="minorHAnsi"/>
        </w:rPr>
        <w:tab/>
      </w:r>
      <w:r w:rsidR="00F52BC5" w:rsidRPr="002D6E64">
        <w:rPr>
          <w:rFonts w:asciiTheme="minorHAnsi" w:hAnsiTheme="minorHAnsi" w:cstheme="minorHAnsi"/>
        </w:rPr>
        <w:tab/>
      </w:r>
      <w:r w:rsidR="00116A85" w:rsidRPr="002D6E64">
        <w:rPr>
          <w:rFonts w:asciiTheme="minorHAnsi" w:hAnsiTheme="minorHAnsi" w:cstheme="minorHAnsi"/>
        </w:rPr>
        <w:t>e</w:t>
      </w:r>
      <w:r w:rsidR="001932EA" w:rsidRPr="002D6E64">
        <w:rPr>
          <w:rFonts w:asciiTheme="minorHAnsi" w:hAnsiTheme="minorHAnsi" w:cstheme="minorHAnsi"/>
        </w:rPr>
        <w:t>-</w:t>
      </w:r>
      <w:r w:rsidR="00116A85" w:rsidRPr="002D6E64">
        <w:rPr>
          <w:rFonts w:asciiTheme="minorHAnsi" w:hAnsiTheme="minorHAnsi" w:cstheme="minorHAnsi"/>
        </w:rPr>
        <w:t>mail:</w:t>
      </w:r>
      <w:r w:rsidR="00B62EFD" w:rsidRPr="002D6E64">
        <w:rPr>
          <w:rFonts w:asciiTheme="minorHAnsi" w:hAnsiTheme="minorHAnsi" w:cstheme="minorHAnsi"/>
        </w:rPr>
        <w:tab/>
      </w:r>
      <w:hyperlink r:id="rId12" w:history="1">
        <w:r w:rsidR="00116A85" w:rsidRPr="002D6E64">
          <w:rPr>
            <w:rStyle w:val="Hypertextovodkaz"/>
            <w:rFonts w:asciiTheme="minorHAnsi" w:hAnsiTheme="minorHAnsi" w:cstheme="minorHAnsi"/>
          </w:rPr>
          <w:t>zikes@kzps.cz</w:t>
        </w:r>
      </w:hyperlink>
      <w:r w:rsidR="00C02026" w:rsidRPr="002D6E64">
        <w:rPr>
          <w:rFonts w:asciiTheme="minorHAnsi" w:hAnsiTheme="minorHAnsi" w:cstheme="minorHAnsi"/>
        </w:rPr>
        <w:tab/>
      </w:r>
      <w:r w:rsidR="00C02026" w:rsidRPr="002D6E64">
        <w:rPr>
          <w:rFonts w:asciiTheme="minorHAnsi" w:hAnsiTheme="minorHAnsi" w:cstheme="minorHAnsi"/>
        </w:rPr>
        <w:tab/>
      </w:r>
      <w:r w:rsidR="00680FD8" w:rsidRPr="002D6E64">
        <w:rPr>
          <w:rFonts w:asciiTheme="minorHAnsi" w:hAnsiTheme="minorHAnsi" w:cstheme="minorHAnsi"/>
        </w:rPr>
        <w:tab/>
      </w:r>
      <w:r w:rsidR="00116A85" w:rsidRPr="002D6E64">
        <w:rPr>
          <w:rFonts w:asciiTheme="minorHAnsi" w:hAnsiTheme="minorHAnsi" w:cstheme="minorHAnsi"/>
        </w:rPr>
        <w:t>tel:</w:t>
      </w:r>
      <w:r w:rsidR="00D442C1" w:rsidRPr="002D6E64">
        <w:rPr>
          <w:rFonts w:asciiTheme="minorHAnsi" w:hAnsiTheme="minorHAnsi" w:cstheme="minorHAnsi"/>
        </w:rPr>
        <w:tab/>
      </w:r>
      <w:r w:rsidR="00C02026" w:rsidRPr="002D6E64">
        <w:rPr>
          <w:rFonts w:asciiTheme="minorHAnsi" w:hAnsiTheme="minorHAnsi" w:cstheme="minorHAnsi"/>
        </w:rPr>
        <w:t>222 324</w:t>
      </w:r>
      <w:r w:rsidR="00B411A7" w:rsidRPr="002D6E64">
        <w:rPr>
          <w:rFonts w:asciiTheme="minorHAnsi" w:hAnsiTheme="minorHAnsi" w:cstheme="minorHAnsi"/>
        </w:rPr>
        <w:t> </w:t>
      </w:r>
      <w:r w:rsidR="00C02026" w:rsidRPr="002D6E64">
        <w:rPr>
          <w:rFonts w:asciiTheme="minorHAnsi" w:hAnsiTheme="minorHAnsi" w:cstheme="minorHAnsi"/>
        </w:rPr>
        <w:t>985</w:t>
      </w:r>
    </w:p>
    <w:p w14:paraId="23122064" w14:textId="45402924" w:rsidR="002234F6" w:rsidRPr="002D6E64" w:rsidRDefault="002234F6" w:rsidP="002D6E64">
      <w:pPr>
        <w:jc w:val="both"/>
        <w:rPr>
          <w:rFonts w:asciiTheme="minorHAnsi" w:hAnsiTheme="minorHAnsi" w:cstheme="minorHAnsi"/>
          <w:sz w:val="24"/>
          <w:szCs w:val="24"/>
        </w:rPr>
      </w:pPr>
    </w:p>
    <w:p w14:paraId="1ED1D75F" w14:textId="77777777" w:rsidR="00185976" w:rsidRPr="002D6E64" w:rsidRDefault="00185976" w:rsidP="002D6E64">
      <w:pPr>
        <w:jc w:val="both"/>
        <w:rPr>
          <w:rFonts w:asciiTheme="minorHAnsi" w:hAnsiTheme="minorHAnsi" w:cstheme="minorHAnsi"/>
          <w:sz w:val="24"/>
          <w:szCs w:val="24"/>
        </w:rPr>
      </w:pPr>
    </w:p>
    <w:p w14:paraId="66FB6E07" w14:textId="23A2ADF5" w:rsidR="00FD1397" w:rsidRPr="002D6E64" w:rsidRDefault="009A436D" w:rsidP="002D6E64">
      <w:pPr>
        <w:jc w:val="both"/>
        <w:rPr>
          <w:rFonts w:asciiTheme="minorHAnsi" w:hAnsiTheme="minorHAnsi" w:cstheme="minorHAnsi"/>
          <w:sz w:val="24"/>
          <w:szCs w:val="24"/>
        </w:rPr>
      </w:pPr>
      <w:r w:rsidRPr="002D6E64">
        <w:rPr>
          <w:rFonts w:asciiTheme="minorHAnsi" w:hAnsiTheme="minorHAnsi" w:cstheme="minorHAnsi"/>
          <w:sz w:val="24"/>
          <w:szCs w:val="24"/>
        </w:rPr>
        <w:t>V Praze dne</w:t>
      </w:r>
      <w:r w:rsidR="00E140D6" w:rsidRPr="002D6E64">
        <w:rPr>
          <w:rFonts w:asciiTheme="minorHAnsi" w:hAnsiTheme="minorHAnsi" w:cstheme="minorHAnsi"/>
          <w:sz w:val="24"/>
          <w:szCs w:val="24"/>
        </w:rPr>
        <w:t xml:space="preserve"> </w:t>
      </w:r>
      <w:r w:rsidR="00663288">
        <w:rPr>
          <w:rFonts w:asciiTheme="minorHAnsi" w:hAnsiTheme="minorHAnsi" w:cstheme="minorHAnsi"/>
          <w:sz w:val="24"/>
          <w:szCs w:val="24"/>
        </w:rPr>
        <w:t>26</w:t>
      </w:r>
      <w:r w:rsidR="00D21B8B" w:rsidRPr="002D6E64">
        <w:rPr>
          <w:rFonts w:asciiTheme="minorHAnsi" w:hAnsiTheme="minorHAnsi" w:cstheme="minorHAnsi"/>
          <w:sz w:val="24"/>
          <w:szCs w:val="24"/>
        </w:rPr>
        <w:t>. února 2022</w:t>
      </w:r>
    </w:p>
    <w:p w14:paraId="3BD941C4" w14:textId="77777777" w:rsidR="00D21B8B" w:rsidRPr="002D6E64" w:rsidRDefault="00D21B8B" w:rsidP="002D6E64">
      <w:pPr>
        <w:jc w:val="both"/>
        <w:rPr>
          <w:rFonts w:asciiTheme="minorHAnsi" w:hAnsiTheme="minorHAnsi" w:cstheme="minorHAnsi"/>
          <w:sz w:val="24"/>
          <w:szCs w:val="24"/>
        </w:rPr>
      </w:pPr>
    </w:p>
    <w:p w14:paraId="6EFC8453" w14:textId="151BBC12" w:rsidR="00B411A7" w:rsidRPr="002D6E64" w:rsidRDefault="00B411A7" w:rsidP="002D6E64">
      <w:pPr>
        <w:rPr>
          <w:rFonts w:asciiTheme="minorHAnsi" w:hAnsiTheme="minorHAnsi" w:cstheme="minorHAnsi"/>
          <w:sz w:val="24"/>
          <w:szCs w:val="24"/>
        </w:rPr>
      </w:pPr>
    </w:p>
    <w:p w14:paraId="4062DD4B" w14:textId="77777777" w:rsidR="00994DDC" w:rsidRPr="002D6E64" w:rsidRDefault="00994DDC" w:rsidP="002D6E64">
      <w:pPr>
        <w:rPr>
          <w:rFonts w:asciiTheme="minorHAnsi" w:hAnsiTheme="minorHAnsi" w:cstheme="minorHAnsi"/>
          <w:sz w:val="24"/>
          <w:szCs w:val="24"/>
        </w:rPr>
      </w:pPr>
    </w:p>
    <w:p w14:paraId="56B8F675" w14:textId="686D61F4" w:rsidR="006266A6" w:rsidRPr="002D6E64" w:rsidRDefault="00BF1917" w:rsidP="002D6E64">
      <w:pPr>
        <w:rPr>
          <w:rFonts w:asciiTheme="minorHAnsi" w:hAnsiTheme="minorHAnsi" w:cstheme="minorHAnsi"/>
          <w:b/>
          <w:sz w:val="24"/>
          <w:szCs w:val="24"/>
        </w:rPr>
      </w:pPr>
      <w:r w:rsidRPr="002D6E64">
        <w:rPr>
          <w:rFonts w:asciiTheme="minorHAnsi" w:hAnsiTheme="minorHAnsi" w:cstheme="minorHAnsi"/>
          <w:sz w:val="24"/>
          <w:szCs w:val="24"/>
        </w:rPr>
        <w:t xml:space="preserve"> </w:t>
      </w:r>
      <w:r w:rsidR="00E825FB" w:rsidRPr="002D6E64">
        <w:rPr>
          <w:rFonts w:asciiTheme="minorHAnsi" w:hAnsiTheme="minorHAnsi" w:cstheme="minorHAnsi"/>
          <w:sz w:val="24"/>
          <w:szCs w:val="24"/>
        </w:rPr>
        <w:tab/>
      </w:r>
      <w:r w:rsidR="00E825FB" w:rsidRPr="002D6E64">
        <w:rPr>
          <w:rFonts w:asciiTheme="minorHAnsi" w:hAnsiTheme="minorHAnsi" w:cstheme="minorHAnsi"/>
          <w:sz w:val="24"/>
          <w:szCs w:val="24"/>
        </w:rPr>
        <w:tab/>
      </w:r>
      <w:r w:rsidR="00E825FB" w:rsidRPr="002D6E64">
        <w:rPr>
          <w:rFonts w:asciiTheme="minorHAnsi" w:hAnsiTheme="minorHAnsi" w:cstheme="minorHAnsi"/>
          <w:sz w:val="24"/>
          <w:szCs w:val="24"/>
        </w:rPr>
        <w:tab/>
      </w:r>
      <w:r w:rsidR="00E825FB" w:rsidRPr="002D6E64">
        <w:rPr>
          <w:rFonts w:asciiTheme="minorHAnsi" w:hAnsiTheme="minorHAnsi" w:cstheme="minorHAnsi"/>
          <w:sz w:val="24"/>
          <w:szCs w:val="24"/>
        </w:rPr>
        <w:tab/>
      </w:r>
      <w:r w:rsidR="00E825FB" w:rsidRPr="002D6E64">
        <w:rPr>
          <w:rFonts w:asciiTheme="minorHAnsi" w:hAnsiTheme="minorHAnsi" w:cstheme="minorHAnsi"/>
          <w:sz w:val="24"/>
          <w:szCs w:val="24"/>
        </w:rPr>
        <w:tab/>
      </w:r>
      <w:r w:rsidR="00E825FB" w:rsidRPr="002D6E64">
        <w:rPr>
          <w:rFonts w:asciiTheme="minorHAnsi" w:hAnsiTheme="minorHAnsi" w:cstheme="minorHAnsi"/>
          <w:sz w:val="24"/>
          <w:szCs w:val="24"/>
        </w:rPr>
        <w:tab/>
      </w:r>
      <w:r w:rsidR="00E825FB" w:rsidRPr="002D6E64">
        <w:rPr>
          <w:rFonts w:asciiTheme="minorHAnsi" w:hAnsiTheme="minorHAnsi" w:cstheme="minorHAnsi"/>
          <w:sz w:val="24"/>
          <w:szCs w:val="24"/>
        </w:rPr>
        <w:tab/>
      </w:r>
      <w:r w:rsidR="00E825FB" w:rsidRPr="002D6E64">
        <w:rPr>
          <w:rFonts w:asciiTheme="minorHAnsi" w:hAnsiTheme="minorHAnsi" w:cstheme="minorHAnsi"/>
          <w:sz w:val="24"/>
          <w:szCs w:val="24"/>
        </w:rPr>
        <w:tab/>
      </w:r>
      <w:r w:rsidR="00E825FB" w:rsidRPr="002D6E64">
        <w:rPr>
          <w:rFonts w:asciiTheme="minorHAnsi" w:hAnsiTheme="minorHAnsi" w:cstheme="minorHAnsi"/>
          <w:sz w:val="24"/>
          <w:szCs w:val="24"/>
        </w:rPr>
        <w:tab/>
      </w:r>
      <w:r w:rsidR="002A28AB" w:rsidRPr="002D6E64">
        <w:rPr>
          <w:rFonts w:asciiTheme="minorHAnsi" w:hAnsiTheme="minorHAnsi" w:cstheme="minorHAnsi"/>
          <w:sz w:val="24"/>
          <w:szCs w:val="24"/>
        </w:rPr>
        <w:tab/>
      </w:r>
      <w:r w:rsidR="002A28AB" w:rsidRPr="002D6E64">
        <w:rPr>
          <w:rFonts w:asciiTheme="minorHAnsi" w:hAnsiTheme="minorHAnsi" w:cstheme="minorHAnsi"/>
          <w:b/>
          <w:sz w:val="24"/>
          <w:szCs w:val="24"/>
        </w:rPr>
        <w:t xml:space="preserve">        </w:t>
      </w:r>
      <w:r w:rsidR="00F645E4" w:rsidRPr="002D6E64">
        <w:rPr>
          <w:rFonts w:asciiTheme="minorHAnsi" w:hAnsiTheme="minorHAnsi" w:cstheme="minorHAnsi"/>
          <w:b/>
          <w:sz w:val="24"/>
          <w:szCs w:val="24"/>
        </w:rPr>
        <w:t>Jan W i e s n e r</w:t>
      </w:r>
    </w:p>
    <w:p w14:paraId="10D3C045" w14:textId="77777777" w:rsidR="00D93E30" w:rsidRPr="002D6E64" w:rsidRDefault="00875CDF" w:rsidP="002D6E64">
      <w:pPr>
        <w:rPr>
          <w:rFonts w:asciiTheme="minorHAnsi" w:hAnsiTheme="minorHAnsi" w:cstheme="minorHAnsi"/>
          <w:sz w:val="24"/>
          <w:szCs w:val="24"/>
        </w:rPr>
      </w:pPr>
      <w:r w:rsidRPr="002D6E64">
        <w:rPr>
          <w:rFonts w:asciiTheme="minorHAnsi" w:hAnsiTheme="minorHAnsi" w:cstheme="minorHAnsi"/>
          <w:sz w:val="24"/>
          <w:szCs w:val="24"/>
        </w:rPr>
        <w:tab/>
      </w:r>
      <w:r w:rsidRPr="002D6E64">
        <w:rPr>
          <w:rFonts w:asciiTheme="minorHAnsi" w:hAnsiTheme="minorHAnsi" w:cstheme="minorHAnsi"/>
          <w:sz w:val="24"/>
          <w:szCs w:val="24"/>
        </w:rPr>
        <w:tab/>
        <w:t xml:space="preserve">                                                   </w:t>
      </w:r>
      <w:r w:rsidR="00F645E4" w:rsidRPr="002D6E64">
        <w:rPr>
          <w:rFonts w:asciiTheme="minorHAnsi" w:hAnsiTheme="minorHAnsi" w:cstheme="minorHAnsi"/>
          <w:sz w:val="24"/>
          <w:szCs w:val="24"/>
        </w:rPr>
        <w:t xml:space="preserve"> </w:t>
      </w:r>
      <w:r w:rsidR="00BF1917" w:rsidRPr="002D6E64">
        <w:rPr>
          <w:rFonts w:asciiTheme="minorHAnsi" w:hAnsiTheme="minorHAnsi" w:cstheme="minorHAnsi"/>
          <w:sz w:val="24"/>
          <w:szCs w:val="24"/>
        </w:rPr>
        <w:t xml:space="preserve">                        </w:t>
      </w:r>
      <w:r w:rsidR="00E825FB" w:rsidRPr="002D6E64">
        <w:rPr>
          <w:rFonts w:asciiTheme="minorHAnsi" w:hAnsiTheme="minorHAnsi" w:cstheme="minorHAnsi"/>
          <w:sz w:val="24"/>
          <w:szCs w:val="24"/>
        </w:rPr>
        <w:tab/>
      </w:r>
      <w:r w:rsidR="00E825FB" w:rsidRPr="002D6E64">
        <w:rPr>
          <w:rFonts w:asciiTheme="minorHAnsi" w:hAnsiTheme="minorHAnsi" w:cstheme="minorHAnsi"/>
          <w:sz w:val="24"/>
          <w:szCs w:val="24"/>
        </w:rPr>
        <w:tab/>
      </w:r>
      <w:r w:rsidR="002A28AB" w:rsidRPr="002D6E64">
        <w:rPr>
          <w:rFonts w:asciiTheme="minorHAnsi" w:hAnsiTheme="minorHAnsi" w:cstheme="minorHAnsi"/>
          <w:sz w:val="24"/>
          <w:szCs w:val="24"/>
        </w:rPr>
        <w:tab/>
        <w:t xml:space="preserve">        </w:t>
      </w:r>
      <w:r w:rsidR="007D7760" w:rsidRPr="002D6E64">
        <w:rPr>
          <w:rFonts w:asciiTheme="minorHAnsi" w:hAnsiTheme="minorHAnsi" w:cstheme="minorHAnsi"/>
          <w:sz w:val="24"/>
          <w:szCs w:val="24"/>
        </w:rPr>
        <w:t xml:space="preserve"> </w:t>
      </w:r>
      <w:r w:rsidR="002A28AB" w:rsidRPr="002D6E64">
        <w:rPr>
          <w:rFonts w:asciiTheme="minorHAnsi" w:hAnsiTheme="minorHAnsi" w:cstheme="minorHAnsi"/>
          <w:sz w:val="24"/>
          <w:szCs w:val="24"/>
        </w:rPr>
        <w:t xml:space="preserve">    </w:t>
      </w:r>
      <w:r w:rsidR="004016A2" w:rsidRPr="002D6E64">
        <w:rPr>
          <w:rFonts w:asciiTheme="minorHAnsi" w:hAnsiTheme="minorHAnsi" w:cstheme="minorHAnsi"/>
          <w:sz w:val="24"/>
          <w:szCs w:val="24"/>
        </w:rPr>
        <w:t>prezident</w:t>
      </w:r>
    </w:p>
    <w:sectPr w:rsidR="00D93E30" w:rsidRPr="002D6E64"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19648" w14:textId="77777777" w:rsidR="00634DAC" w:rsidRDefault="00634DAC">
      <w:r>
        <w:separator/>
      </w:r>
    </w:p>
    <w:p w14:paraId="769F1E52" w14:textId="77777777" w:rsidR="00634DAC" w:rsidRDefault="00634DAC"/>
  </w:endnote>
  <w:endnote w:type="continuationSeparator" w:id="0">
    <w:p w14:paraId="31A63C86" w14:textId="77777777" w:rsidR="00634DAC" w:rsidRDefault="00634DAC">
      <w:r>
        <w:continuationSeparator/>
      </w:r>
    </w:p>
    <w:p w14:paraId="516CA384" w14:textId="77777777" w:rsidR="00634DAC" w:rsidRDefault="00634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50C87" w14:textId="77777777" w:rsidR="00634DAC" w:rsidRDefault="00634DAC">
      <w:r>
        <w:separator/>
      </w:r>
    </w:p>
    <w:p w14:paraId="0BBE86C4" w14:textId="77777777" w:rsidR="00634DAC" w:rsidRDefault="00634DAC"/>
  </w:footnote>
  <w:footnote w:type="continuationSeparator" w:id="0">
    <w:p w14:paraId="12A3B044" w14:textId="77777777" w:rsidR="00634DAC" w:rsidRDefault="00634DAC">
      <w:r>
        <w:continuationSeparator/>
      </w:r>
    </w:p>
    <w:p w14:paraId="2CADE51D" w14:textId="77777777" w:rsidR="00634DAC" w:rsidRDefault="00634D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5"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2B96"/>
    <w:rsid w:val="0003614B"/>
    <w:rsid w:val="00042DCF"/>
    <w:rsid w:val="00045C43"/>
    <w:rsid w:val="00053079"/>
    <w:rsid w:val="000741DD"/>
    <w:rsid w:val="0007717A"/>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6006"/>
    <w:rsid w:val="002C72A2"/>
    <w:rsid w:val="002C7470"/>
    <w:rsid w:val="002D1F53"/>
    <w:rsid w:val="002D2146"/>
    <w:rsid w:val="002D25D0"/>
    <w:rsid w:val="002D408D"/>
    <w:rsid w:val="002D6C44"/>
    <w:rsid w:val="002D6E64"/>
    <w:rsid w:val="002E0A03"/>
    <w:rsid w:val="002F1DD2"/>
    <w:rsid w:val="002F514D"/>
    <w:rsid w:val="00314659"/>
    <w:rsid w:val="00320994"/>
    <w:rsid w:val="00322368"/>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5ECD"/>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4DAC"/>
    <w:rsid w:val="00637B43"/>
    <w:rsid w:val="0064259D"/>
    <w:rsid w:val="00645A4F"/>
    <w:rsid w:val="006470A5"/>
    <w:rsid w:val="006473BE"/>
    <w:rsid w:val="00652FEB"/>
    <w:rsid w:val="0065329E"/>
    <w:rsid w:val="00655DC2"/>
    <w:rsid w:val="006609DD"/>
    <w:rsid w:val="00663288"/>
    <w:rsid w:val="006640F5"/>
    <w:rsid w:val="006767B1"/>
    <w:rsid w:val="00677B7E"/>
    <w:rsid w:val="00680FD8"/>
    <w:rsid w:val="006826E0"/>
    <w:rsid w:val="00682D25"/>
    <w:rsid w:val="0068360D"/>
    <w:rsid w:val="006906BB"/>
    <w:rsid w:val="00690E0A"/>
    <w:rsid w:val="006A2DCA"/>
    <w:rsid w:val="006B1D7D"/>
    <w:rsid w:val="006B75C1"/>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83098"/>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12BA"/>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33D2"/>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 w:type="paragraph" w:styleId="Bezmezer">
    <w:name w:val="No Spacing"/>
    <w:uiPriority w:val="1"/>
    <w:qFormat/>
    <w:rsid w:val="002D6E6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p@scmvd.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806</Words>
  <Characters>4762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5557</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Zikes</cp:lastModifiedBy>
  <cp:revision>31</cp:revision>
  <cp:lastPrinted>2016-10-12T10:41:00Z</cp:lastPrinted>
  <dcterms:created xsi:type="dcterms:W3CDTF">2020-07-21T13:09:00Z</dcterms:created>
  <dcterms:modified xsi:type="dcterms:W3CDTF">2022-02-26T12:39:00Z</dcterms:modified>
</cp:coreProperties>
</file>