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728CBA4" w14:textId="77777777" w:rsidR="004C419B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4C419B" w:rsidRPr="004C419B">
        <w:rPr>
          <w:rFonts w:asciiTheme="minorHAnsi" w:hAnsiTheme="minorHAnsi" w:cstheme="minorHAnsi"/>
          <w:b/>
          <w:bCs/>
          <w:sz w:val="24"/>
          <w:szCs w:val="24"/>
        </w:rPr>
        <w:t>Návrh zákona, kterým se mění některé zákony v souvislosti s přijetím zákona</w:t>
      </w:r>
    </w:p>
    <w:p w14:paraId="6C1EB35A" w14:textId="0A407DDA" w:rsidR="00D442C1" w:rsidRDefault="004C419B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C419B">
        <w:rPr>
          <w:rFonts w:asciiTheme="minorHAnsi" w:hAnsiTheme="minorHAnsi" w:cstheme="minorHAnsi"/>
          <w:b/>
          <w:bCs/>
          <w:sz w:val="24"/>
          <w:szCs w:val="24"/>
        </w:rPr>
        <w:t>o ochraně oznamovatelů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C50846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C50846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C50846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C50846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9E9B6F" w14:textId="77777777" w:rsidR="00320994" w:rsidRPr="004C419B" w:rsidRDefault="00320994" w:rsidP="004C419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3C4C714" w14:textId="77777777" w:rsidR="004C419B" w:rsidRPr="004C419B" w:rsidRDefault="004C419B" w:rsidP="004C419B">
      <w:pPr>
        <w:spacing w:after="200"/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</w:pPr>
      <w:r w:rsidRPr="004C419B"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  <w:t>Konkrétní připomínky</w:t>
      </w:r>
    </w:p>
    <w:p w14:paraId="6F161A5D" w14:textId="77777777" w:rsidR="004C419B" w:rsidRPr="004C419B" w:rsidRDefault="004C419B" w:rsidP="004C419B">
      <w:pPr>
        <w:spacing w:after="12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4C419B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K části páté čl. VIII bodu 1 - Změna zákona o některých opatřeních proti legalizaci výnosů z trestné činnosti a financování terorismu</w:t>
      </w:r>
    </w:p>
    <w:p w14:paraId="3DFE424B" w14:textId="77777777" w:rsidR="004C419B" w:rsidRPr="004C419B" w:rsidRDefault="004C419B" w:rsidP="004C419B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C419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Požadujeme opustit zákaz sdílení nebo </w:t>
      </w:r>
      <w:proofErr w:type="spellStart"/>
      <w:r w:rsidRPr="004C419B">
        <w:rPr>
          <w:rFonts w:asciiTheme="minorHAnsi" w:eastAsiaTheme="minorHAnsi" w:hAnsiTheme="minorHAnsi" w:cstheme="minorHAnsi"/>
          <w:sz w:val="24"/>
          <w:szCs w:val="24"/>
          <w:lang w:eastAsia="en-US"/>
        </w:rPr>
        <w:t>outsourcování</w:t>
      </w:r>
      <w:proofErr w:type="spellEnd"/>
      <w:r w:rsidRPr="004C419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vedení vnitřního oznamovacího systému.</w:t>
      </w:r>
    </w:p>
    <w:p w14:paraId="79E45900" w14:textId="77777777" w:rsidR="004C419B" w:rsidRDefault="004C419B" w:rsidP="004C419B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</w:p>
    <w:p w14:paraId="5E420F49" w14:textId="2A96E538" w:rsidR="004C419B" w:rsidRPr="004C419B" w:rsidRDefault="004C419B" w:rsidP="004C419B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4C419B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Odůvodnění:</w:t>
      </w:r>
    </w:p>
    <w:p w14:paraId="27514DC5" w14:textId="77777777" w:rsidR="004C419B" w:rsidRPr="004C419B" w:rsidRDefault="004C419B" w:rsidP="004C419B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C419B">
        <w:rPr>
          <w:rFonts w:asciiTheme="minorHAnsi" w:eastAsiaTheme="minorHAnsi" w:hAnsiTheme="minorHAnsi" w:cstheme="minorHAnsi"/>
          <w:sz w:val="24"/>
          <w:szCs w:val="24"/>
          <w:lang w:eastAsia="en-US"/>
        </w:rPr>
        <w:t>Výslovný zákaz sdílet nebo outsourcovat vedení vnitřního oznamovacího systému v případě povinných osob dle AML zákona považujeme za nepřiměřeně přísný. Toto omezení jde nad rámec požadavků evropské i národní legislativy. Sdílení a externí zajištění vnitřního oznamovacího systému by mělo být umožněno s podmínkou, že bude povinnost mlčenlivosti řádně smluvně upravená, a že za soulad s příslušnými právními předpisy bude nadále odpovídat povinná osoba. Důvodová zpráva se k tomuto bodu odvolává na článek 61 AMLD, ten ale takové omezení nepožaduje, a dále pouze obecně odkazuje na povinnost mlčenlivosti. Uvedené považujeme při tak zásadním zásahu a odklonění se od Směrnice Evropského parlamentu a Rady (EU) 2019/1937 ze dne 23. října 2019 o ochraně osob, které oznamují porušení práva Unie, za zcela nedostatečné odůvodnění.</w:t>
      </w:r>
    </w:p>
    <w:p w14:paraId="752147C5" w14:textId="77777777" w:rsidR="004C419B" w:rsidRPr="004C419B" w:rsidRDefault="004C419B" w:rsidP="004C419B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C419B">
        <w:rPr>
          <w:rFonts w:asciiTheme="minorHAnsi" w:eastAsiaTheme="minorHAnsi" w:hAnsiTheme="minorHAnsi" w:cstheme="minorHAnsi"/>
          <w:sz w:val="24"/>
          <w:szCs w:val="24"/>
          <w:lang w:eastAsia="en-US"/>
        </w:rPr>
        <w:t>Nadto takový zákaz sdílení a outsourcing systému vyvolává i řadu dalších otázek a nejasností. Např. jakým způsobem lze či nelze AML oznámení prakticky provozovat? Typický příklad může být distribuční společnost vs. pojišťovna. Lze sdílet systém v rámci jedné finanční skupiny pro více institucí?</w:t>
      </w:r>
    </w:p>
    <w:p w14:paraId="18CB3C2B" w14:textId="77777777" w:rsidR="004C419B" w:rsidRPr="004C419B" w:rsidRDefault="004C419B" w:rsidP="004C419B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4C419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tato připomínka je zásadní</w:t>
      </w:r>
    </w:p>
    <w:p w14:paraId="248B2C2A" w14:textId="77777777" w:rsidR="004C419B" w:rsidRDefault="004C419B" w:rsidP="004C41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C3C19A8" w14:textId="77777777" w:rsidR="004C419B" w:rsidRDefault="004C419B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br w:type="page"/>
      </w:r>
    </w:p>
    <w:p w14:paraId="4771BF7F" w14:textId="0A2A1A35" w:rsidR="00116A85" w:rsidRPr="004C419B" w:rsidRDefault="001932EA" w:rsidP="004C41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C419B">
        <w:rPr>
          <w:rFonts w:asciiTheme="minorHAnsi" w:hAnsiTheme="minorHAnsi" w:cstheme="minorHAnsi"/>
          <w:sz w:val="24"/>
          <w:szCs w:val="24"/>
          <w:u w:val="single"/>
        </w:rPr>
        <w:lastRenderedPageBreak/>
        <w:t>K</w:t>
      </w:r>
      <w:r w:rsidR="00116A85" w:rsidRPr="004C419B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4C419B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4C419B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4C419B" w:rsidRDefault="00E73AD9" w:rsidP="004C419B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7B5876B" w14:textId="12663727" w:rsidR="004C419B" w:rsidRPr="004C419B" w:rsidRDefault="004C419B" w:rsidP="004C419B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4C419B">
        <w:rPr>
          <w:rFonts w:asciiTheme="minorHAnsi" w:hAnsiTheme="minorHAnsi" w:cstheme="minorHAnsi"/>
          <w:sz w:val="24"/>
          <w:szCs w:val="24"/>
        </w:rPr>
        <w:t>Mgr. Jakub Machytka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C419B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Pr="004C419B">
          <w:rPr>
            <w:rStyle w:val="Hypertextovodkaz"/>
            <w:rFonts w:asciiTheme="minorHAnsi" w:hAnsiTheme="minorHAnsi" w:cstheme="minorHAnsi"/>
            <w:sz w:val="24"/>
            <w:szCs w:val="24"/>
          </w:rPr>
          <w:t>jakub.machytka@uzs.</w:t>
        </w:r>
        <w:r w:rsidRPr="004C419B">
          <w:rPr>
            <w:rStyle w:val="Hypertextovodkaz"/>
            <w:rFonts w:asciiTheme="minorHAnsi" w:hAnsiTheme="minorHAnsi" w:cstheme="minorHAnsi"/>
            <w:sz w:val="24"/>
            <w:szCs w:val="24"/>
            <w:u w:val="none"/>
          </w:rPr>
          <w:t>cz</w:t>
        </w:r>
      </w:hyperlink>
      <w:r>
        <w:rPr>
          <w:rStyle w:val="Hypertextovodkaz"/>
          <w:rFonts w:asciiTheme="minorHAnsi" w:hAnsiTheme="minorHAnsi" w:cstheme="minorHAnsi"/>
          <w:sz w:val="24"/>
          <w:szCs w:val="24"/>
          <w:u w:val="none"/>
        </w:rPr>
        <w:tab/>
      </w:r>
      <w:r w:rsidRPr="004C419B">
        <w:rPr>
          <w:rFonts w:asciiTheme="minorHAnsi" w:hAnsiTheme="minorHAnsi" w:cstheme="minorHAnsi"/>
          <w:sz w:val="24"/>
          <w:szCs w:val="24"/>
        </w:rPr>
        <w:t>tel:</w:t>
      </w:r>
      <w:r>
        <w:rPr>
          <w:rFonts w:asciiTheme="minorHAnsi" w:hAnsiTheme="minorHAnsi" w:cstheme="minorHAnsi"/>
          <w:sz w:val="24"/>
          <w:szCs w:val="24"/>
        </w:rPr>
        <w:tab/>
      </w:r>
      <w:r w:rsidRPr="004C419B">
        <w:rPr>
          <w:rFonts w:asciiTheme="minorHAnsi" w:hAnsiTheme="minorHAnsi" w:cstheme="minorHAnsi"/>
          <w:sz w:val="24"/>
          <w:szCs w:val="24"/>
        </w:rPr>
        <w:t>727 956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4C419B">
        <w:rPr>
          <w:rFonts w:asciiTheme="minorHAnsi" w:hAnsiTheme="minorHAnsi" w:cstheme="minorHAnsi"/>
          <w:sz w:val="24"/>
          <w:szCs w:val="24"/>
        </w:rPr>
        <w:t>059</w:t>
      </w:r>
    </w:p>
    <w:p w14:paraId="6AA718CE" w14:textId="6C2301A8" w:rsidR="00116A85" w:rsidRPr="004C419B" w:rsidRDefault="00B17C0F" w:rsidP="004C419B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4C419B">
        <w:rPr>
          <w:rFonts w:asciiTheme="minorHAnsi" w:hAnsiTheme="minorHAnsi" w:cstheme="minorHAnsi"/>
        </w:rPr>
        <w:t>Dr.</w:t>
      </w:r>
      <w:r w:rsidR="00116A85" w:rsidRPr="004C419B">
        <w:rPr>
          <w:rFonts w:asciiTheme="minorHAnsi" w:hAnsiTheme="minorHAnsi" w:cstheme="minorHAnsi"/>
        </w:rPr>
        <w:t xml:space="preserve"> Jan Zikeš</w:t>
      </w:r>
      <w:r w:rsidR="00C02026" w:rsidRPr="004C419B">
        <w:rPr>
          <w:rFonts w:asciiTheme="minorHAnsi" w:hAnsiTheme="minorHAnsi" w:cstheme="minorHAnsi"/>
        </w:rPr>
        <w:tab/>
      </w:r>
      <w:r w:rsidR="00C02026" w:rsidRPr="004C419B">
        <w:rPr>
          <w:rFonts w:asciiTheme="minorHAnsi" w:hAnsiTheme="minorHAnsi" w:cstheme="minorHAnsi"/>
        </w:rPr>
        <w:tab/>
      </w:r>
      <w:r w:rsidR="007D6A55" w:rsidRPr="004C419B">
        <w:rPr>
          <w:rFonts w:asciiTheme="minorHAnsi" w:hAnsiTheme="minorHAnsi" w:cstheme="minorHAnsi"/>
        </w:rPr>
        <w:tab/>
      </w:r>
      <w:r w:rsidR="00F52BC5" w:rsidRPr="004C419B">
        <w:rPr>
          <w:rFonts w:asciiTheme="minorHAnsi" w:hAnsiTheme="minorHAnsi" w:cstheme="minorHAnsi"/>
        </w:rPr>
        <w:tab/>
      </w:r>
      <w:r w:rsidR="00116A85" w:rsidRPr="004C419B">
        <w:rPr>
          <w:rFonts w:asciiTheme="minorHAnsi" w:hAnsiTheme="minorHAnsi" w:cstheme="minorHAnsi"/>
        </w:rPr>
        <w:t>e</w:t>
      </w:r>
      <w:r w:rsidR="001932EA" w:rsidRPr="004C419B">
        <w:rPr>
          <w:rFonts w:asciiTheme="minorHAnsi" w:hAnsiTheme="minorHAnsi" w:cstheme="minorHAnsi"/>
        </w:rPr>
        <w:t>-</w:t>
      </w:r>
      <w:r w:rsidR="00116A85" w:rsidRPr="004C419B">
        <w:rPr>
          <w:rFonts w:asciiTheme="minorHAnsi" w:hAnsiTheme="minorHAnsi" w:cstheme="minorHAnsi"/>
        </w:rPr>
        <w:t>mail:</w:t>
      </w:r>
      <w:r w:rsidR="00B62EFD" w:rsidRPr="004C419B">
        <w:rPr>
          <w:rFonts w:asciiTheme="minorHAnsi" w:hAnsiTheme="minorHAnsi" w:cstheme="minorHAnsi"/>
        </w:rPr>
        <w:tab/>
      </w:r>
      <w:hyperlink r:id="rId12" w:history="1">
        <w:r w:rsidR="00116A85" w:rsidRPr="004C419B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4C419B">
        <w:rPr>
          <w:rFonts w:asciiTheme="minorHAnsi" w:hAnsiTheme="minorHAnsi" w:cstheme="minorHAnsi"/>
        </w:rPr>
        <w:tab/>
      </w:r>
      <w:r w:rsidR="00C02026" w:rsidRPr="004C419B">
        <w:rPr>
          <w:rFonts w:asciiTheme="minorHAnsi" w:hAnsiTheme="minorHAnsi" w:cstheme="minorHAnsi"/>
        </w:rPr>
        <w:tab/>
      </w:r>
      <w:r w:rsidR="00680FD8" w:rsidRPr="004C419B">
        <w:rPr>
          <w:rFonts w:asciiTheme="minorHAnsi" w:hAnsiTheme="minorHAnsi" w:cstheme="minorHAnsi"/>
        </w:rPr>
        <w:tab/>
      </w:r>
      <w:r w:rsidR="00116A85" w:rsidRPr="004C419B">
        <w:rPr>
          <w:rFonts w:asciiTheme="minorHAnsi" w:hAnsiTheme="minorHAnsi" w:cstheme="minorHAnsi"/>
        </w:rPr>
        <w:t>tel:</w:t>
      </w:r>
      <w:r w:rsidR="00D442C1" w:rsidRPr="004C419B">
        <w:rPr>
          <w:rFonts w:asciiTheme="minorHAnsi" w:hAnsiTheme="minorHAnsi" w:cstheme="minorHAnsi"/>
        </w:rPr>
        <w:tab/>
      </w:r>
      <w:r w:rsidR="00C02026" w:rsidRPr="004C419B">
        <w:rPr>
          <w:rFonts w:asciiTheme="minorHAnsi" w:hAnsiTheme="minorHAnsi" w:cstheme="minorHAnsi"/>
        </w:rPr>
        <w:t>222 324</w:t>
      </w:r>
      <w:r w:rsidR="00B411A7" w:rsidRPr="004C419B">
        <w:rPr>
          <w:rFonts w:asciiTheme="minorHAnsi" w:hAnsiTheme="minorHAnsi" w:cstheme="minorHAnsi"/>
        </w:rPr>
        <w:t> </w:t>
      </w:r>
      <w:r w:rsidR="00C02026" w:rsidRPr="004C419B">
        <w:rPr>
          <w:rFonts w:asciiTheme="minorHAnsi" w:hAnsiTheme="minorHAnsi" w:cstheme="minorHAnsi"/>
        </w:rPr>
        <w:t>985</w:t>
      </w:r>
    </w:p>
    <w:p w14:paraId="23122064" w14:textId="45402924" w:rsidR="002234F6" w:rsidRPr="004C419B" w:rsidRDefault="002234F6" w:rsidP="004C41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4C419B" w:rsidRDefault="00185976" w:rsidP="004C41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73B79C12" w:rsidR="00FD1397" w:rsidRPr="004C419B" w:rsidRDefault="009A436D" w:rsidP="004C419B">
      <w:pPr>
        <w:jc w:val="both"/>
        <w:rPr>
          <w:rFonts w:asciiTheme="minorHAnsi" w:hAnsiTheme="minorHAnsi" w:cstheme="minorHAnsi"/>
          <w:sz w:val="24"/>
          <w:szCs w:val="24"/>
        </w:rPr>
      </w:pPr>
      <w:r w:rsidRPr="004C419B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4C419B">
        <w:rPr>
          <w:rFonts w:asciiTheme="minorHAnsi" w:hAnsiTheme="minorHAnsi" w:cstheme="minorHAnsi"/>
          <w:sz w:val="24"/>
          <w:szCs w:val="24"/>
        </w:rPr>
        <w:t xml:space="preserve"> </w:t>
      </w:r>
      <w:r w:rsidR="007B1374">
        <w:rPr>
          <w:rFonts w:asciiTheme="minorHAnsi" w:hAnsiTheme="minorHAnsi" w:cstheme="minorHAnsi"/>
          <w:sz w:val="24"/>
          <w:szCs w:val="24"/>
        </w:rPr>
        <w:t>23. května</w:t>
      </w:r>
      <w:r w:rsidR="00D21B8B" w:rsidRPr="004C419B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4C419B" w:rsidRDefault="00D21B8B" w:rsidP="004C41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4C419B" w:rsidRDefault="00B411A7" w:rsidP="004C419B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4C419B" w:rsidRDefault="00994DDC" w:rsidP="004C419B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4C419B" w:rsidRDefault="00BF1917" w:rsidP="004C419B">
      <w:pPr>
        <w:rPr>
          <w:rFonts w:asciiTheme="minorHAnsi" w:hAnsiTheme="minorHAnsi" w:cstheme="minorHAnsi"/>
          <w:b/>
          <w:sz w:val="24"/>
          <w:szCs w:val="24"/>
        </w:rPr>
      </w:pPr>
      <w:r w:rsidRPr="004C419B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2A28AB" w:rsidRPr="004C419B">
        <w:rPr>
          <w:rFonts w:asciiTheme="minorHAnsi" w:hAnsiTheme="minorHAnsi" w:cstheme="minorHAnsi"/>
          <w:sz w:val="24"/>
          <w:szCs w:val="24"/>
        </w:rPr>
        <w:tab/>
      </w:r>
      <w:r w:rsidR="002A28AB" w:rsidRPr="004C419B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4C419B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4C419B" w:rsidRDefault="00875CDF" w:rsidP="004C419B">
      <w:pPr>
        <w:rPr>
          <w:rFonts w:asciiTheme="minorHAnsi" w:hAnsiTheme="minorHAnsi" w:cstheme="minorHAnsi"/>
          <w:sz w:val="24"/>
          <w:szCs w:val="24"/>
        </w:rPr>
      </w:pPr>
      <w:r w:rsidRPr="004C419B">
        <w:rPr>
          <w:rFonts w:asciiTheme="minorHAnsi" w:hAnsiTheme="minorHAnsi" w:cstheme="minorHAnsi"/>
          <w:sz w:val="24"/>
          <w:szCs w:val="24"/>
        </w:rPr>
        <w:tab/>
      </w:r>
      <w:r w:rsidRPr="004C419B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4C419B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4C419B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2A28AB" w:rsidRPr="004C419B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4C419B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4C419B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4C419B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4C419B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5FC" w14:textId="77777777" w:rsidR="00255928" w:rsidRDefault="00255928">
      <w:r>
        <w:separator/>
      </w:r>
    </w:p>
    <w:p w14:paraId="6BD3B007" w14:textId="77777777" w:rsidR="00255928" w:rsidRDefault="00255928"/>
  </w:endnote>
  <w:endnote w:type="continuationSeparator" w:id="0">
    <w:p w14:paraId="436B2896" w14:textId="77777777" w:rsidR="00255928" w:rsidRDefault="00255928">
      <w:r>
        <w:continuationSeparator/>
      </w:r>
    </w:p>
    <w:p w14:paraId="0100E673" w14:textId="77777777" w:rsidR="00255928" w:rsidRDefault="0025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D9F" w14:textId="77777777" w:rsidR="00255928" w:rsidRDefault="00255928">
      <w:r>
        <w:separator/>
      </w:r>
    </w:p>
    <w:p w14:paraId="2C4140A6" w14:textId="77777777" w:rsidR="00255928" w:rsidRDefault="00255928"/>
  </w:footnote>
  <w:footnote w:type="continuationSeparator" w:id="0">
    <w:p w14:paraId="3A600BD3" w14:textId="77777777" w:rsidR="00255928" w:rsidRDefault="00255928">
      <w:r>
        <w:continuationSeparator/>
      </w:r>
    </w:p>
    <w:p w14:paraId="11B27133" w14:textId="77777777" w:rsidR="00255928" w:rsidRDefault="0025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965022">
    <w:abstractNumId w:val="14"/>
  </w:num>
  <w:num w:numId="2" w16cid:durableId="2208674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0448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8616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8586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36860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6244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76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015000">
    <w:abstractNumId w:val="16"/>
  </w:num>
  <w:num w:numId="10" w16cid:durableId="18422354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2660594">
    <w:abstractNumId w:val="8"/>
  </w:num>
  <w:num w:numId="12" w16cid:durableId="549533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42089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94255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745921">
    <w:abstractNumId w:val="11"/>
  </w:num>
  <w:num w:numId="16" w16cid:durableId="10883857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419B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1374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319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2486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23</cp:revision>
  <cp:lastPrinted>2016-10-12T10:41:00Z</cp:lastPrinted>
  <dcterms:created xsi:type="dcterms:W3CDTF">2020-07-21T13:09:00Z</dcterms:created>
  <dcterms:modified xsi:type="dcterms:W3CDTF">2022-05-23T09:45:00Z</dcterms:modified>
</cp:coreProperties>
</file>