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22F8F399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D616B2" w:rsidRPr="00D616B2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426CA8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D616B2" w:rsidRPr="00D616B2">
        <w:rPr>
          <w:rFonts w:asciiTheme="minorHAnsi" w:hAnsiTheme="minorHAnsi" w:cstheme="minorHAnsi"/>
          <w:b/>
          <w:bCs/>
          <w:sz w:val="24"/>
          <w:szCs w:val="24"/>
        </w:rPr>
        <w:t xml:space="preserve"> rozpočtu Státního fondu podpory investic na rok 2023 a střednědobého výhledu na roky 2024–2025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C50846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C50846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C50846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C50846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5EACFBE" w14:textId="77777777" w:rsidR="00D616B2" w:rsidRPr="00260F69" w:rsidRDefault="00D616B2" w:rsidP="00260F69">
      <w:pPr>
        <w:ind w:left="72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C30AE40" w14:textId="77777777" w:rsidR="00D616B2" w:rsidRPr="00260F69" w:rsidRDefault="00D616B2" w:rsidP="00260F69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60F69">
        <w:rPr>
          <w:rFonts w:asciiTheme="minorHAnsi" w:hAnsiTheme="minorHAnsi" w:cstheme="minorHAnsi"/>
          <w:color w:val="000000"/>
          <w:sz w:val="24"/>
          <w:szCs w:val="24"/>
        </w:rPr>
        <w:t>Role SFPI v současném systému státní podpory je v oblasti výstavby podporovaných bytů a zajištění dostupného bydlení v obcích a městech zásadní. Z tohoto pohledu se jeví návrh rozpočtu na rok 2023 a výhledy na roky 2024 a 2025 jako značně poddimenzované, prostřednictvím Fondu státem vynakládané prostředky na podporu bydlení vynakládané SFPI jsou dlouhodobě nedostatečné. SPS na tuto situaci již několik let poukazuje a požaduje navýšení finančních prostředků pro rok 2023 min o 3 mld Kč, v letech 2024 a 2025 pak o 8 mld.</w:t>
      </w:r>
    </w:p>
    <w:p w14:paraId="02999B67" w14:textId="77777777" w:rsidR="00D616B2" w:rsidRPr="00260F69" w:rsidRDefault="00D616B2" w:rsidP="00260F69">
      <w:pPr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9EB8333" w14:textId="2F750577" w:rsidR="00D616B2" w:rsidRPr="00260F69" w:rsidRDefault="00D616B2" w:rsidP="00260F69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60F69">
        <w:rPr>
          <w:rFonts w:asciiTheme="minorHAnsi" w:hAnsiTheme="minorHAnsi" w:cstheme="minorHAnsi"/>
          <w:color w:val="000000"/>
          <w:sz w:val="24"/>
          <w:szCs w:val="24"/>
        </w:rPr>
        <w:t xml:space="preserve">Ve Výročních zprávách Fondu je v posledních letech uváděno čerpání schváleného rozpočtu ve výši 40 – 50 %. Například v roce 2021 byl čerpán rozpočet na </w:t>
      </w:r>
      <w:r w:rsidRPr="00260F69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výdajové stránce </w:t>
      </w:r>
      <w:r w:rsidRPr="00260F69">
        <w:rPr>
          <w:rFonts w:asciiTheme="minorHAnsi" w:hAnsiTheme="minorHAnsi" w:cstheme="minorHAnsi"/>
          <w:color w:val="000000"/>
          <w:sz w:val="24"/>
          <w:szCs w:val="24"/>
        </w:rPr>
        <w:t>ve výši 45,22</w:t>
      </w:r>
      <w:r w:rsidR="00AF40D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60F69">
        <w:rPr>
          <w:rFonts w:asciiTheme="minorHAnsi" w:hAnsiTheme="minorHAnsi" w:cstheme="minorHAnsi"/>
          <w:color w:val="000000"/>
          <w:sz w:val="24"/>
          <w:szCs w:val="24"/>
        </w:rPr>
        <w:t xml:space="preserve">% </w:t>
      </w:r>
      <w:r w:rsidRPr="00260F69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(plán 5235 mil. Kč, skutečnost 2367 mil. Kč). </w:t>
      </w:r>
      <w:r w:rsidRPr="00260F69">
        <w:rPr>
          <w:rFonts w:asciiTheme="minorHAnsi" w:hAnsiTheme="minorHAnsi" w:cstheme="minorHAnsi"/>
          <w:color w:val="000000"/>
          <w:sz w:val="24"/>
          <w:szCs w:val="24"/>
        </w:rPr>
        <w:t>Jelikož se jedná o dlouhodobě negativní stav, lze konstatovat, že jednotlivé programy podporující bydlení jsou svým nastavením pro investory nezajímavé. Doporučujeme proto nastavit jednotlivé programy pro investory zajímavě a o jednotlivých parametrech intenzivně jednat s kompetentními partnery (SMO ČR, SČMBD, …).</w:t>
      </w:r>
    </w:p>
    <w:p w14:paraId="3B1531FE" w14:textId="77777777" w:rsidR="00D616B2" w:rsidRPr="00260F69" w:rsidRDefault="00D616B2" w:rsidP="00260F69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72BAE6C" w14:textId="77777777" w:rsidR="00D616B2" w:rsidRPr="00260F69" w:rsidRDefault="00D616B2" w:rsidP="00260F69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60F69">
        <w:rPr>
          <w:rFonts w:asciiTheme="minorHAnsi" w:hAnsiTheme="minorHAnsi" w:cstheme="minorHAnsi"/>
          <w:color w:val="000000"/>
          <w:sz w:val="24"/>
          <w:szCs w:val="24"/>
        </w:rPr>
        <w:t xml:space="preserve">V posledních dvou letech dochází k enormnímu nárůstu cen stavebních prací a stavebních materiálů. Na tuto situace by mělo reagováno i v rozpočtech SFPI. Již tak nízký zájem investorů bude díky nižšímu procentuálnímu podílu podpory na celkové ceně znamenat další pokles zájmu o realizaci výstavby podporovaných bytů. </w:t>
      </w:r>
    </w:p>
    <w:p w14:paraId="21CF3436" w14:textId="77777777" w:rsidR="00D616B2" w:rsidRPr="00260F69" w:rsidRDefault="00D616B2" w:rsidP="00260F69">
      <w:pPr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512C054" w14:textId="77777777" w:rsidR="00D616B2" w:rsidRPr="00260F69" w:rsidRDefault="00D616B2" w:rsidP="00260F69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60F69">
        <w:rPr>
          <w:rFonts w:asciiTheme="minorHAnsi" w:hAnsiTheme="minorHAnsi" w:cstheme="minorHAnsi"/>
          <w:color w:val="000000"/>
          <w:sz w:val="24"/>
          <w:szCs w:val="24"/>
        </w:rPr>
        <w:t>V oblasti dostupného bydlení nemůže trh nahradit roli státu, obce a měst. Je politováníhodné, že přes rostoucí výši státního rozpočtu a zvyšování mandatorních (a sociálních) výdajů, stát nevynakládá dostatek prostředků na opatření, která by mohla v příštích letech snížit objem poskytovaných sociálních dávek na bydlení.</w:t>
      </w:r>
    </w:p>
    <w:p w14:paraId="5B691FA5" w14:textId="77777777" w:rsidR="00D616B2" w:rsidRPr="00260F69" w:rsidRDefault="00D616B2" w:rsidP="00260F69">
      <w:pPr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AEFE191" w14:textId="77777777" w:rsidR="00D616B2" w:rsidRPr="00260F69" w:rsidRDefault="00D616B2" w:rsidP="00260F69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60F69">
        <w:rPr>
          <w:rFonts w:asciiTheme="minorHAnsi" w:hAnsiTheme="minorHAnsi" w:cstheme="minorHAnsi"/>
          <w:color w:val="000000"/>
          <w:sz w:val="24"/>
          <w:szCs w:val="24"/>
        </w:rPr>
        <w:t>Program Výstavba, který měl být významným impulzem pro výstavbu sociálních a dostupných (nájemních) bytů v obcích a městech, nemá v návrhu rozpočtu SFPI zajištěn dostatek finančních prostředků. Opět opakujeme náš požadavek na vyčlenění vyšších finančních částek ve formě dotací.</w:t>
      </w:r>
    </w:p>
    <w:p w14:paraId="0C896850" w14:textId="420ADE79" w:rsidR="00D616B2" w:rsidRPr="00260F69" w:rsidRDefault="00D616B2" w:rsidP="00260F69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60F69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Jedním z problémů je nestabilita příjmů </w:t>
      </w:r>
      <w:r w:rsidR="003918D6" w:rsidRPr="00260F69">
        <w:rPr>
          <w:rFonts w:asciiTheme="minorHAnsi" w:hAnsiTheme="minorHAnsi" w:cstheme="minorHAnsi"/>
          <w:color w:val="000000"/>
          <w:sz w:val="24"/>
          <w:szCs w:val="24"/>
        </w:rPr>
        <w:t>SFPI,</w:t>
      </w:r>
      <w:r w:rsidRPr="00260F69">
        <w:rPr>
          <w:rFonts w:asciiTheme="minorHAnsi" w:hAnsiTheme="minorHAnsi" w:cstheme="minorHAnsi"/>
          <w:color w:val="000000"/>
          <w:sz w:val="24"/>
          <w:szCs w:val="24"/>
        </w:rPr>
        <w:t xml:space="preserve"> a tudíž možnost jistých vnějších vlivů (i politických) při jeho sestavování. Opětovně proto doporučujeme jednoznačně stanovit zdroje rozpočtu směřující ke zlepšení situace v oblasti výstavby podporovaných bytů a tím i vytvoření stabilního prostředí, které je důležitou podmínkou pro střednědobé plánování. Financování podpory bydlení vyžaduje zavedení dalších modelů financování jak neziskové výstavby, tak soukromé, obecní a podnikové nájemní výstavby.</w:t>
      </w:r>
    </w:p>
    <w:p w14:paraId="0E738A73" w14:textId="77777777" w:rsidR="00D616B2" w:rsidRPr="00260F69" w:rsidRDefault="00D616B2" w:rsidP="00260F69">
      <w:pPr>
        <w:pStyle w:val="Odstavecseseznamem"/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19318E6" w14:textId="77777777" w:rsidR="00D616B2" w:rsidRPr="00260F69" w:rsidRDefault="00D616B2" w:rsidP="00260F69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60F69">
        <w:rPr>
          <w:rFonts w:asciiTheme="minorHAnsi" w:hAnsiTheme="minorHAnsi" w:cstheme="minorHAnsi"/>
          <w:color w:val="000000"/>
          <w:sz w:val="24"/>
          <w:szCs w:val="24"/>
        </w:rPr>
        <w:t xml:space="preserve">Snížit sazbu DPH u bytové výstavby jako nástroj podpory nového bydlení. Na DPH si stát bere téměř pětinásobně víc, než před deseti lety a např. z každého nového bytu v Praze získá stát na daních bezmála 1 milion Kč. </w:t>
      </w:r>
    </w:p>
    <w:p w14:paraId="032EEF19" w14:textId="77777777" w:rsidR="00D616B2" w:rsidRPr="00260F69" w:rsidRDefault="00D616B2" w:rsidP="00260F69">
      <w:pPr>
        <w:pStyle w:val="Odstavecseseznamem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A9746C2" w14:textId="77777777" w:rsidR="00D616B2" w:rsidRPr="00260F69" w:rsidRDefault="00D616B2" w:rsidP="00260F69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60F69">
        <w:rPr>
          <w:rFonts w:asciiTheme="minorHAnsi" w:hAnsiTheme="minorHAnsi" w:cstheme="minorHAnsi"/>
          <w:color w:val="000000"/>
          <w:sz w:val="24"/>
          <w:szCs w:val="24"/>
        </w:rPr>
        <w:t xml:space="preserve"> V současné době probíhá souběžně MPŘ k návrhu rozpočtu na další roky. Jen pro porovnání - předložený materiál předpokládá výdaje SFŽP v roce 2023 ve výši 34,5 mld Kč a pro další dva roky 36,5, popř. 39,4 mld Kč. Problematiky řešící oba fondy vnímáme jako podstatné pro podporu českého stavebnictví, bohužel příspěvek státu pro zlepšení situace v bydlení je velmi malý.  Jako možnost navrhujeme převést část prostředků z jiných operačních programů.                              </w:t>
      </w:r>
    </w:p>
    <w:p w14:paraId="58825A0D" w14:textId="77777777" w:rsidR="00D616B2" w:rsidRPr="00260F69" w:rsidRDefault="00D616B2" w:rsidP="00260F69">
      <w:pPr>
        <w:pStyle w:val="Odstavecseseznamem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BC58096" w14:textId="77777777" w:rsidR="00D616B2" w:rsidRPr="00260F69" w:rsidRDefault="00D616B2" w:rsidP="00260F69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60F69">
        <w:rPr>
          <w:rFonts w:asciiTheme="minorHAnsi" w:hAnsiTheme="minorHAnsi" w:cstheme="minorHAnsi"/>
          <w:color w:val="000000"/>
          <w:sz w:val="24"/>
          <w:szCs w:val="24"/>
        </w:rPr>
        <w:t>Doporučujeme odstranit daňové překážky pro výstavbu nájemních bytů realizovaných privátním subjektem (DPH). Konkrétně se jedná o nutnost krácení odpočtu DPH uplatňovaného na vstupu (během výstavby nemovitosti) při následném pronájmu bytů fyzickým osobám, tj. neplátcům DPH.</w:t>
      </w:r>
    </w:p>
    <w:p w14:paraId="02E2C87F" w14:textId="77777777" w:rsidR="00D616B2" w:rsidRPr="00260F69" w:rsidRDefault="00D616B2" w:rsidP="00260F69">
      <w:pPr>
        <w:pStyle w:val="Odstavecseseznamem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5A5A9E5" w14:textId="5F695DF7" w:rsidR="00D616B2" w:rsidRDefault="00D616B2" w:rsidP="00260F69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60F69">
        <w:rPr>
          <w:rFonts w:asciiTheme="minorHAnsi" w:hAnsiTheme="minorHAnsi" w:cstheme="minorHAnsi"/>
          <w:color w:val="000000"/>
          <w:sz w:val="24"/>
          <w:szCs w:val="24"/>
        </w:rPr>
        <w:t xml:space="preserve">Doporučujeme umožnit výstavbu sociálních a dostupných bytů i privátním subjektům. </w:t>
      </w:r>
    </w:p>
    <w:p w14:paraId="6846B720" w14:textId="77777777" w:rsidR="00AF40D7" w:rsidRPr="00260F69" w:rsidRDefault="00AF40D7" w:rsidP="00AF40D7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83F6716" w14:textId="69196D8F" w:rsidR="00D616B2" w:rsidRDefault="00D616B2" w:rsidP="00260F69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60F69">
        <w:rPr>
          <w:rFonts w:asciiTheme="minorHAnsi" w:hAnsiTheme="minorHAnsi" w:cstheme="minorHAnsi"/>
          <w:color w:val="000000"/>
          <w:sz w:val="24"/>
          <w:szCs w:val="24"/>
        </w:rPr>
        <w:t>Doporučujeme vytvořit a vyjednat standard podmínek pro realizaci projektů developerů s možností participace na projektech municipalit.</w:t>
      </w:r>
    </w:p>
    <w:p w14:paraId="0F8CE7C3" w14:textId="77777777" w:rsidR="006D5AB0" w:rsidRPr="00260F69" w:rsidRDefault="006D5AB0" w:rsidP="006D5AB0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A5D6A64" w14:textId="495F53AA" w:rsidR="00D616B2" w:rsidRPr="00260F69" w:rsidRDefault="00D616B2" w:rsidP="00260F69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60F69">
        <w:rPr>
          <w:rFonts w:asciiTheme="minorHAnsi" w:hAnsiTheme="minorHAnsi" w:cstheme="minorHAnsi"/>
          <w:color w:val="000000"/>
          <w:sz w:val="24"/>
          <w:szCs w:val="24"/>
        </w:rPr>
        <w:t xml:space="preserve">Pro dokumentaci současné špatné situace upozorňujeme na dokument: „Předběžná zpráva EK k dostupnosti bydlení v EU“ (2018), který definuje příjmové </w:t>
      </w:r>
      <w:proofErr w:type="spellStart"/>
      <w:r w:rsidRPr="00260F69">
        <w:rPr>
          <w:rFonts w:asciiTheme="minorHAnsi" w:hAnsiTheme="minorHAnsi" w:cstheme="minorHAnsi"/>
          <w:color w:val="000000"/>
          <w:sz w:val="24"/>
          <w:szCs w:val="24"/>
        </w:rPr>
        <w:t>kvintily</w:t>
      </w:r>
      <w:proofErr w:type="spellEnd"/>
      <w:r w:rsidRPr="00260F69">
        <w:rPr>
          <w:rFonts w:asciiTheme="minorHAnsi" w:hAnsiTheme="minorHAnsi" w:cstheme="minorHAnsi"/>
          <w:color w:val="000000"/>
          <w:sz w:val="24"/>
          <w:szCs w:val="24"/>
        </w:rPr>
        <w:t xml:space="preserve"> a dělí dostupné bydlení na </w:t>
      </w:r>
      <w:proofErr w:type="spellStart"/>
      <w:r w:rsidRPr="00260F69">
        <w:rPr>
          <w:rFonts w:asciiTheme="minorHAnsi" w:hAnsiTheme="minorHAnsi" w:cstheme="minorHAnsi"/>
          <w:color w:val="000000"/>
          <w:sz w:val="24"/>
          <w:szCs w:val="24"/>
        </w:rPr>
        <w:t>Emergency</w:t>
      </w:r>
      <w:proofErr w:type="spellEnd"/>
      <w:r w:rsidRPr="00260F69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260F69">
        <w:rPr>
          <w:rFonts w:asciiTheme="minorHAnsi" w:hAnsiTheme="minorHAnsi" w:cstheme="minorHAnsi"/>
          <w:color w:val="000000"/>
          <w:sz w:val="24"/>
          <w:szCs w:val="24"/>
        </w:rPr>
        <w:t>Affordable</w:t>
      </w:r>
      <w:proofErr w:type="spellEnd"/>
      <w:r w:rsidRPr="00260F69">
        <w:rPr>
          <w:rFonts w:asciiTheme="minorHAnsi" w:hAnsiTheme="minorHAnsi" w:cstheme="minorHAnsi"/>
          <w:color w:val="000000"/>
          <w:sz w:val="24"/>
          <w:szCs w:val="24"/>
        </w:rPr>
        <w:t xml:space="preserve"> a Market </w:t>
      </w:r>
      <w:proofErr w:type="spellStart"/>
      <w:r w:rsidRPr="00260F69">
        <w:rPr>
          <w:rFonts w:asciiTheme="minorHAnsi" w:hAnsiTheme="minorHAnsi" w:cstheme="minorHAnsi"/>
          <w:color w:val="000000"/>
          <w:sz w:val="24"/>
          <w:szCs w:val="24"/>
        </w:rPr>
        <w:t>Housing</w:t>
      </w:r>
      <w:proofErr w:type="spellEnd"/>
      <w:r w:rsidRPr="00260F69">
        <w:rPr>
          <w:rFonts w:asciiTheme="minorHAnsi" w:hAnsiTheme="minorHAnsi" w:cstheme="minorHAnsi"/>
          <w:color w:val="000000"/>
          <w:sz w:val="24"/>
          <w:szCs w:val="24"/>
        </w:rPr>
        <w:t xml:space="preserve"> a definuje 7 typů řešení: </w:t>
      </w:r>
    </w:p>
    <w:p w14:paraId="7CC75FCE" w14:textId="1F838399" w:rsidR="00D616B2" w:rsidRPr="00260F69" w:rsidRDefault="00D616B2" w:rsidP="00260F69">
      <w:pPr>
        <w:numPr>
          <w:ilvl w:val="1"/>
          <w:numId w:val="17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260F69">
        <w:rPr>
          <w:rFonts w:asciiTheme="minorHAnsi" w:hAnsiTheme="minorHAnsi" w:cstheme="minorHAnsi"/>
          <w:color w:val="000000"/>
          <w:sz w:val="24"/>
          <w:szCs w:val="24"/>
        </w:rPr>
        <w:t>Emergency</w:t>
      </w:r>
      <w:proofErr w:type="spellEnd"/>
      <w:r w:rsidRPr="00260F6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260F69">
        <w:rPr>
          <w:rFonts w:asciiTheme="minorHAnsi" w:hAnsiTheme="minorHAnsi" w:cstheme="minorHAnsi"/>
          <w:color w:val="000000"/>
          <w:sz w:val="24"/>
          <w:szCs w:val="24"/>
        </w:rPr>
        <w:t>shelters</w:t>
      </w:r>
      <w:proofErr w:type="spellEnd"/>
    </w:p>
    <w:p w14:paraId="07B36E1B" w14:textId="77777777" w:rsidR="00D616B2" w:rsidRPr="00260F69" w:rsidRDefault="00D616B2" w:rsidP="00260F69">
      <w:pPr>
        <w:numPr>
          <w:ilvl w:val="1"/>
          <w:numId w:val="17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260F69">
        <w:rPr>
          <w:rFonts w:asciiTheme="minorHAnsi" w:hAnsiTheme="minorHAnsi" w:cstheme="minorHAnsi"/>
          <w:color w:val="000000"/>
          <w:sz w:val="24"/>
          <w:szCs w:val="24"/>
        </w:rPr>
        <w:t>Transition</w:t>
      </w:r>
      <w:proofErr w:type="spellEnd"/>
      <w:r w:rsidRPr="00260F6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260F69">
        <w:rPr>
          <w:rFonts w:asciiTheme="minorHAnsi" w:hAnsiTheme="minorHAnsi" w:cstheme="minorHAnsi"/>
          <w:color w:val="000000"/>
          <w:sz w:val="24"/>
          <w:szCs w:val="24"/>
        </w:rPr>
        <w:t>Housing</w:t>
      </w:r>
      <w:proofErr w:type="spellEnd"/>
    </w:p>
    <w:p w14:paraId="0993B67D" w14:textId="77777777" w:rsidR="00D616B2" w:rsidRPr="00260F69" w:rsidRDefault="00D616B2" w:rsidP="00260F69">
      <w:pPr>
        <w:numPr>
          <w:ilvl w:val="1"/>
          <w:numId w:val="17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260F69">
        <w:rPr>
          <w:rFonts w:asciiTheme="minorHAnsi" w:hAnsiTheme="minorHAnsi" w:cstheme="minorHAnsi"/>
          <w:color w:val="000000"/>
          <w:sz w:val="24"/>
          <w:szCs w:val="24"/>
        </w:rPr>
        <w:t>Social</w:t>
      </w:r>
      <w:proofErr w:type="spellEnd"/>
      <w:r w:rsidRPr="00260F6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260F69">
        <w:rPr>
          <w:rFonts w:asciiTheme="minorHAnsi" w:hAnsiTheme="minorHAnsi" w:cstheme="minorHAnsi"/>
          <w:color w:val="000000"/>
          <w:sz w:val="24"/>
          <w:szCs w:val="24"/>
        </w:rPr>
        <w:t>housing</w:t>
      </w:r>
      <w:proofErr w:type="spellEnd"/>
    </w:p>
    <w:p w14:paraId="02CC8120" w14:textId="77777777" w:rsidR="00D616B2" w:rsidRPr="00260F69" w:rsidRDefault="00D616B2" w:rsidP="00260F69">
      <w:pPr>
        <w:numPr>
          <w:ilvl w:val="1"/>
          <w:numId w:val="17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260F69">
        <w:rPr>
          <w:rFonts w:asciiTheme="minorHAnsi" w:hAnsiTheme="minorHAnsi" w:cstheme="minorHAnsi"/>
          <w:color w:val="000000"/>
          <w:sz w:val="24"/>
          <w:szCs w:val="24"/>
        </w:rPr>
        <w:t>Affordable</w:t>
      </w:r>
      <w:proofErr w:type="spellEnd"/>
      <w:r w:rsidRPr="00260F6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260F69">
        <w:rPr>
          <w:rFonts w:asciiTheme="minorHAnsi" w:hAnsiTheme="minorHAnsi" w:cstheme="minorHAnsi"/>
          <w:color w:val="000000"/>
          <w:sz w:val="24"/>
          <w:szCs w:val="24"/>
        </w:rPr>
        <w:t>rental</w:t>
      </w:r>
      <w:proofErr w:type="spellEnd"/>
      <w:r w:rsidRPr="00260F6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260F69">
        <w:rPr>
          <w:rFonts w:asciiTheme="minorHAnsi" w:hAnsiTheme="minorHAnsi" w:cstheme="minorHAnsi"/>
          <w:color w:val="000000"/>
          <w:sz w:val="24"/>
          <w:szCs w:val="24"/>
        </w:rPr>
        <w:t>housing</w:t>
      </w:r>
      <w:proofErr w:type="spellEnd"/>
    </w:p>
    <w:p w14:paraId="7A826670" w14:textId="77777777" w:rsidR="00D616B2" w:rsidRPr="00260F69" w:rsidRDefault="00D616B2" w:rsidP="00260F69">
      <w:pPr>
        <w:numPr>
          <w:ilvl w:val="1"/>
          <w:numId w:val="17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260F69">
        <w:rPr>
          <w:rFonts w:asciiTheme="minorHAnsi" w:hAnsiTheme="minorHAnsi" w:cstheme="minorHAnsi"/>
          <w:color w:val="000000"/>
          <w:sz w:val="24"/>
          <w:szCs w:val="24"/>
        </w:rPr>
        <w:t>Affordable</w:t>
      </w:r>
      <w:proofErr w:type="spellEnd"/>
      <w:r w:rsidRPr="00260F6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260F69">
        <w:rPr>
          <w:rFonts w:asciiTheme="minorHAnsi" w:hAnsiTheme="minorHAnsi" w:cstheme="minorHAnsi"/>
          <w:color w:val="000000"/>
          <w:sz w:val="24"/>
          <w:szCs w:val="24"/>
        </w:rPr>
        <w:t>home</w:t>
      </w:r>
      <w:proofErr w:type="spellEnd"/>
      <w:r w:rsidRPr="00260F6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260F69">
        <w:rPr>
          <w:rFonts w:asciiTheme="minorHAnsi" w:hAnsiTheme="minorHAnsi" w:cstheme="minorHAnsi"/>
          <w:color w:val="000000"/>
          <w:sz w:val="24"/>
          <w:szCs w:val="24"/>
        </w:rPr>
        <w:t>ownership</w:t>
      </w:r>
      <w:proofErr w:type="spellEnd"/>
    </w:p>
    <w:p w14:paraId="77A0D145" w14:textId="77777777" w:rsidR="00D616B2" w:rsidRPr="00260F69" w:rsidRDefault="00D616B2" w:rsidP="00260F69">
      <w:pPr>
        <w:numPr>
          <w:ilvl w:val="1"/>
          <w:numId w:val="17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60F69">
        <w:rPr>
          <w:rFonts w:asciiTheme="minorHAnsi" w:hAnsiTheme="minorHAnsi" w:cstheme="minorHAnsi"/>
          <w:color w:val="000000"/>
          <w:sz w:val="24"/>
          <w:szCs w:val="24"/>
        </w:rPr>
        <w:t xml:space="preserve">Market </w:t>
      </w:r>
      <w:proofErr w:type="spellStart"/>
      <w:r w:rsidRPr="00260F69">
        <w:rPr>
          <w:rFonts w:asciiTheme="minorHAnsi" w:hAnsiTheme="minorHAnsi" w:cstheme="minorHAnsi"/>
          <w:color w:val="000000"/>
          <w:sz w:val="24"/>
          <w:szCs w:val="24"/>
        </w:rPr>
        <w:t>rental</w:t>
      </w:r>
      <w:proofErr w:type="spellEnd"/>
    </w:p>
    <w:p w14:paraId="6F893B46" w14:textId="77777777" w:rsidR="00D616B2" w:rsidRPr="00260F69" w:rsidRDefault="00D616B2" w:rsidP="00260F69">
      <w:pPr>
        <w:numPr>
          <w:ilvl w:val="1"/>
          <w:numId w:val="17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60F69">
        <w:rPr>
          <w:rFonts w:asciiTheme="minorHAnsi" w:hAnsiTheme="minorHAnsi" w:cstheme="minorHAnsi"/>
          <w:color w:val="000000"/>
          <w:sz w:val="24"/>
          <w:szCs w:val="24"/>
        </w:rPr>
        <w:t xml:space="preserve">Market </w:t>
      </w:r>
      <w:proofErr w:type="spellStart"/>
      <w:r w:rsidRPr="00260F69">
        <w:rPr>
          <w:rFonts w:asciiTheme="minorHAnsi" w:hAnsiTheme="minorHAnsi" w:cstheme="minorHAnsi"/>
          <w:color w:val="000000"/>
          <w:sz w:val="24"/>
          <w:szCs w:val="24"/>
        </w:rPr>
        <w:t>home</w:t>
      </w:r>
      <w:proofErr w:type="spellEnd"/>
      <w:r w:rsidRPr="00260F6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260F69">
        <w:rPr>
          <w:rFonts w:asciiTheme="minorHAnsi" w:hAnsiTheme="minorHAnsi" w:cstheme="minorHAnsi"/>
          <w:color w:val="000000"/>
          <w:sz w:val="24"/>
          <w:szCs w:val="24"/>
        </w:rPr>
        <w:t>ownership</w:t>
      </w:r>
      <w:proofErr w:type="spellEnd"/>
    </w:p>
    <w:p w14:paraId="601B29C4" w14:textId="77777777" w:rsidR="00AF40D7" w:rsidRDefault="00AF40D7" w:rsidP="00260F69">
      <w:pPr>
        <w:ind w:left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EB3EC54" w14:textId="5E1BD305" w:rsidR="00D616B2" w:rsidRPr="00260F69" w:rsidRDefault="00D616B2" w:rsidP="00260F69">
      <w:pPr>
        <w:ind w:left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60F69">
        <w:rPr>
          <w:rFonts w:asciiTheme="minorHAnsi" w:hAnsiTheme="minorHAnsi" w:cstheme="minorHAnsi"/>
          <w:color w:val="000000"/>
          <w:sz w:val="24"/>
          <w:szCs w:val="24"/>
        </w:rPr>
        <w:t xml:space="preserve">Léčba „problému“ trhem nefunguje posledních více jak 10 let, protože trh řeší pouze body f. a g. A státní podpora možná bod e.  Co není řešeno jsou body a. – d. jenže ty představují 60% příjmových skupin a ty bohužel ani na tržní nájemné z investičních bytů nedosáhnou. A pokud dosáhnou se státní podporou - doplatkem na bydlení, pak stát vlastně subvencuje movitějším vlastnění bytů a skrytě dotuje výstavbu investičních bytů. </w:t>
      </w:r>
    </w:p>
    <w:p w14:paraId="24942A74" w14:textId="77777777" w:rsidR="00D616B2" w:rsidRPr="00260F69" w:rsidRDefault="00D616B2" w:rsidP="00260F69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60F69">
        <w:rPr>
          <w:rFonts w:asciiTheme="minorHAnsi" w:hAnsiTheme="minorHAnsi" w:cstheme="minorHAnsi"/>
          <w:color w:val="000000"/>
          <w:sz w:val="24"/>
          <w:szCs w:val="24"/>
        </w:rPr>
        <w:lastRenderedPageBreak/>
        <w:t>Doporučujeme dále zapojení investičních fondů kvalifikovaných investorů s nasměrováním zdrojů EU do podpory výstavby formou návratných půjček. Tyto fondy řízené profesionálně mohou zadávat projekty developerům a stavebním firmám, přičemž zdroje takových fondů, jejich hospodaření podléhají dozoru ČNB a multiplikačním efektem přitahují další zdroje (penzijní fondy, banky, soukromé investory, zdroje církve, atd.). Fondy mají dlouhodobý charakter, nízkou výnosnost a velkou spolehlivost navyšování, popř. minimálně udržení hodnoty fondu.</w:t>
      </w:r>
    </w:p>
    <w:p w14:paraId="61BD0992" w14:textId="77777777" w:rsidR="00D616B2" w:rsidRPr="00260F69" w:rsidRDefault="00D616B2" w:rsidP="00260F69">
      <w:pPr>
        <w:pStyle w:val="Odstavecseseznamem"/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2C251AEE" w14:textId="6569D408" w:rsidR="00D616B2" w:rsidRPr="00260F69" w:rsidRDefault="00D616B2" w:rsidP="00260F69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60F69">
        <w:rPr>
          <w:rFonts w:asciiTheme="minorHAnsi" w:hAnsiTheme="minorHAnsi" w:cstheme="minorHAnsi"/>
          <w:color w:val="000000"/>
          <w:sz w:val="24"/>
          <w:szCs w:val="24"/>
        </w:rPr>
        <w:t xml:space="preserve"> Podle posledních statistických šetření je dostupnost bydlení je v ČR nejhorší z EU. Kvůli nízké výstavbě máme 4. nejnižší počet bytů na obyvatele. Podle statistického serveru Numbeo.com potřebují Češi na pořízení vlastního bydlení </w:t>
      </w:r>
      <w:r w:rsidR="001A59C0" w:rsidRPr="00260F69">
        <w:rPr>
          <w:rFonts w:asciiTheme="minorHAnsi" w:hAnsiTheme="minorHAnsi" w:cstheme="minorHAnsi"/>
          <w:color w:val="000000"/>
          <w:sz w:val="24"/>
          <w:szCs w:val="24"/>
        </w:rPr>
        <w:t>15,4</w:t>
      </w:r>
      <w:r w:rsidR="001A59C0">
        <w:rPr>
          <w:rFonts w:asciiTheme="minorHAnsi" w:hAnsiTheme="minorHAnsi" w:cstheme="minorHAnsi"/>
          <w:color w:val="000000"/>
          <w:sz w:val="24"/>
          <w:szCs w:val="24"/>
        </w:rPr>
        <w:t>ročního</w:t>
      </w:r>
      <w:r w:rsidRPr="00260F69">
        <w:rPr>
          <w:rFonts w:asciiTheme="minorHAnsi" w:hAnsiTheme="minorHAnsi" w:cstheme="minorHAnsi"/>
          <w:color w:val="000000"/>
          <w:sz w:val="24"/>
          <w:szCs w:val="24"/>
        </w:rPr>
        <w:t xml:space="preserve"> platu, což je řadí až úplně na poslední místo v celé EU. V současné době spočívá současná nová bytová výstavba zejména na bedrech privátních investorů. Příspěvek státu ke zlepšení dostupnosti bydlení (a tím i snížení pořizovací ceny) je v posledních cca 10 letech naprosto minimální. MMR a SFPI by měly být jedním z nástrojů státu pro zlepšení dostupnosti bytů pro vyjmenované skupiny obyvatel. Doporučujeme proto vedení MMR realizaci zásadních systémových kroků ke zlepšení současné neutěšené situace v oblasti výstavby podporovaných bytů, zejména těch nájemních.</w:t>
      </w:r>
    </w:p>
    <w:p w14:paraId="2686DDBA" w14:textId="77777777" w:rsidR="00D616B2" w:rsidRPr="00260F69" w:rsidRDefault="00D616B2" w:rsidP="00260F69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EF4E411" w14:textId="77777777" w:rsidR="00D616B2" w:rsidRPr="006D5AB0" w:rsidRDefault="00D616B2" w:rsidP="00260F69">
      <w:pPr>
        <w:ind w:left="72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6D5AB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Připomínky 1 – 7 a 14 jsou zásadní.</w:t>
      </w:r>
    </w:p>
    <w:p w14:paraId="33DE1C32" w14:textId="77777777" w:rsidR="00D616B2" w:rsidRPr="00260F69" w:rsidRDefault="00D616B2" w:rsidP="00260F69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C4B0946" w14:textId="77777777" w:rsidR="0046655B" w:rsidRPr="00260F69" w:rsidRDefault="0046655B" w:rsidP="00260F6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71BF7F" w14:textId="0AB1797B" w:rsidR="00116A85" w:rsidRPr="00260F69" w:rsidRDefault="001932EA" w:rsidP="00260F6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60F69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260F69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260F69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260F69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260F69" w:rsidRDefault="00E73AD9" w:rsidP="00260F69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A7F6C18" w14:textId="3B51A59C" w:rsidR="0046655B" w:rsidRPr="00260F69" w:rsidRDefault="0046655B" w:rsidP="00260F69">
      <w:pPr>
        <w:jc w:val="both"/>
        <w:rPr>
          <w:rFonts w:asciiTheme="minorHAnsi" w:hAnsiTheme="minorHAnsi" w:cstheme="minorHAnsi"/>
          <w:sz w:val="24"/>
          <w:szCs w:val="24"/>
        </w:rPr>
      </w:pPr>
      <w:r w:rsidRPr="00260F69">
        <w:rPr>
          <w:rFonts w:asciiTheme="minorHAnsi" w:hAnsiTheme="minorHAnsi" w:cstheme="minorHAnsi"/>
          <w:sz w:val="24"/>
          <w:szCs w:val="24"/>
        </w:rPr>
        <w:t xml:space="preserve">Ing. </w:t>
      </w:r>
      <w:r w:rsidR="001A59C0">
        <w:rPr>
          <w:rFonts w:asciiTheme="minorHAnsi" w:hAnsiTheme="minorHAnsi" w:cstheme="minorHAnsi"/>
          <w:sz w:val="24"/>
          <w:szCs w:val="24"/>
        </w:rPr>
        <w:t>Pavel Ševčík</w:t>
      </w:r>
      <w:r w:rsidR="0044077B" w:rsidRPr="00260F69">
        <w:rPr>
          <w:rFonts w:asciiTheme="minorHAnsi" w:hAnsiTheme="minorHAnsi" w:cstheme="minorHAnsi"/>
          <w:sz w:val="24"/>
          <w:szCs w:val="24"/>
        </w:rPr>
        <w:tab/>
      </w:r>
      <w:r w:rsidR="0044077B" w:rsidRPr="00260F69">
        <w:rPr>
          <w:rFonts w:asciiTheme="minorHAnsi" w:hAnsiTheme="minorHAnsi" w:cstheme="minorHAnsi"/>
          <w:sz w:val="24"/>
          <w:szCs w:val="24"/>
        </w:rPr>
        <w:tab/>
      </w:r>
      <w:r w:rsidR="0044077B" w:rsidRPr="00260F69">
        <w:rPr>
          <w:rFonts w:asciiTheme="minorHAnsi" w:hAnsiTheme="minorHAnsi" w:cstheme="minorHAnsi"/>
          <w:sz w:val="24"/>
          <w:szCs w:val="24"/>
        </w:rPr>
        <w:tab/>
      </w:r>
      <w:r w:rsidRPr="00260F69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1" w:history="1">
        <w:r w:rsidR="004A1D05" w:rsidRPr="00DD1631">
          <w:rPr>
            <w:rStyle w:val="Hypertextovodkaz"/>
            <w:rFonts w:asciiTheme="minorHAnsi" w:hAnsiTheme="minorHAnsi" w:cstheme="minorHAnsi"/>
            <w:sz w:val="24"/>
            <w:szCs w:val="24"/>
          </w:rPr>
          <w:t>sevcik@sps.cz</w:t>
        </w:r>
      </w:hyperlink>
      <w:r w:rsidR="004A1D05">
        <w:rPr>
          <w:rFonts w:asciiTheme="minorHAnsi" w:hAnsiTheme="minorHAnsi" w:cstheme="minorHAnsi"/>
          <w:sz w:val="24"/>
          <w:szCs w:val="24"/>
        </w:rPr>
        <w:tab/>
      </w:r>
      <w:r w:rsidR="0044077B" w:rsidRPr="00260F69">
        <w:rPr>
          <w:rFonts w:asciiTheme="minorHAnsi" w:hAnsiTheme="minorHAnsi" w:cstheme="minorHAnsi"/>
          <w:sz w:val="24"/>
          <w:szCs w:val="24"/>
        </w:rPr>
        <w:tab/>
      </w:r>
      <w:r w:rsidR="0044077B" w:rsidRPr="00260F69">
        <w:rPr>
          <w:rFonts w:asciiTheme="minorHAnsi" w:hAnsiTheme="minorHAnsi" w:cstheme="minorHAnsi"/>
          <w:sz w:val="24"/>
          <w:szCs w:val="24"/>
        </w:rPr>
        <w:tab/>
      </w:r>
      <w:r w:rsidRPr="00260F69">
        <w:rPr>
          <w:rFonts w:asciiTheme="minorHAnsi" w:hAnsiTheme="minorHAnsi" w:cstheme="minorHAnsi"/>
          <w:sz w:val="24"/>
          <w:szCs w:val="24"/>
        </w:rPr>
        <w:t>tel</w:t>
      </w:r>
      <w:r w:rsidR="0044077B" w:rsidRPr="00260F69">
        <w:rPr>
          <w:rFonts w:asciiTheme="minorHAnsi" w:hAnsiTheme="minorHAnsi" w:cstheme="minorHAnsi"/>
          <w:sz w:val="24"/>
          <w:szCs w:val="24"/>
        </w:rPr>
        <w:t>:</w:t>
      </w:r>
      <w:r w:rsidR="0044077B" w:rsidRPr="00260F69">
        <w:rPr>
          <w:rFonts w:asciiTheme="minorHAnsi" w:hAnsiTheme="minorHAnsi" w:cstheme="minorHAnsi"/>
          <w:sz w:val="24"/>
          <w:szCs w:val="24"/>
        </w:rPr>
        <w:tab/>
      </w:r>
      <w:r w:rsidR="005552A2">
        <w:rPr>
          <w:rFonts w:asciiTheme="minorHAnsi" w:hAnsiTheme="minorHAnsi" w:cstheme="minorHAnsi"/>
          <w:sz w:val="24"/>
          <w:szCs w:val="24"/>
        </w:rPr>
        <w:t>605 205 650</w:t>
      </w:r>
    </w:p>
    <w:p w14:paraId="6AA718CE" w14:textId="6C2301A8" w:rsidR="00116A85" w:rsidRPr="00260F69" w:rsidRDefault="00B17C0F" w:rsidP="00260F69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260F69">
        <w:rPr>
          <w:rFonts w:asciiTheme="minorHAnsi" w:hAnsiTheme="minorHAnsi" w:cstheme="minorHAnsi"/>
        </w:rPr>
        <w:t>Dr.</w:t>
      </w:r>
      <w:r w:rsidR="00116A85" w:rsidRPr="00260F69">
        <w:rPr>
          <w:rFonts w:asciiTheme="minorHAnsi" w:hAnsiTheme="minorHAnsi" w:cstheme="minorHAnsi"/>
        </w:rPr>
        <w:t xml:space="preserve"> Jan Zikeš</w:t>
      </w:r>
      <w:r w:rsidR="00C02026" w:rsidRPr="00260F69">
        <w:rPr>
          <w:rFonts w:asciiTheme="minorHAnsi" w:hAnsiTheme="minorHAnsi" w:cstheme="minorHAnsi"/>
        </w:rPr>
        <w:tab/>
      </w:r>
      <w:r w:rsidR="00C02026" w:rsidRPr="00260F69">
        <w:rPr>
          <w:rFonts w:asciiTheme="minorHAnsi" w:hAnsiTheme="minorHAnsi" w:cstheme="minorHAnsi"/>
        </w:rPr>
        <w:tab/>
      </w:r>
      <w:r w:rsidR="007D6A55" w:rsidRPr="00260F69">
        <w:rPr>
          <w:rFonts w:asciiTheme="minorHAnsi" w:hAnsiTheme="minorHAnsi" w:cstheme="minorHAnsi"/>
        </w:rPr>
        <w:tab/>
      </w:r>
      <w:r w:rsidR="00F52BC5" w:rsidRPr="00260F69">
        <w:rPr>
          <w:rFonts w:asciiTheme="minorHAnsi" w:hAnsiTheme="minorHAnsi" w:cstheme="minorHAnsi"/>
        </w:rPr>
        <w:tab/>
      </w:r>
      <w:r w:rsidR="00116A85" w:rsidRPr="00260F69">
        <w:rPr>
          <w:rFonts w:asciiTheme="minorHAnsi" w:hAnsiTheme="minorHAnsi" w:cstheme="minorHAnsi"/>
        </w:rPr>
        <w:t>e</w:t>
      </w:r>
      <w:r w:rsidR="001932EA" w:rsidRPr="00260F69">
        <w:rPr>
          <w:rFonts w:asciiTheme="minorHAnsi" w:hAnsiTheme="minorHAnsi" w:cstheme="minorHAnsi"/>
        </w:rPr>
        <w:t>-</w:t>
      </w:r>
      <w:r w:rsidR="00116A85" w:rsidRPr="00260F69">
        <w:rPr>
          <w:rFonts w:asciiTheme="minorHAnsi" w:hAnsiTheme="minorHAnsi" w:cstheme="minorHAnsi"/>
        </w:rPr>
        <w:t>mail:</w:t>
      </w:r>
      <w:r w:rsidR="00B62EFD" w:rsidRPr="00260F69">
        <w:rPr>
          <w:rFonts w:asciiTheme="minorHAnsi" w:hAnsiTheme="minorHAnsi" w:cstheme="minorHAnsi"/>
        </w:rPr>
        <w:tab/>
      </w:r>
      <w:hyperlink r:id="rId12" w:history="1">
        <w:r w:rsidR="00116A85" w:rsidRPr="00260F69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260F69">
        <w:rPr>
          <w:rFonts w:asciiTheme="minorHAnsi" w:hAnsiTheme="minorHAnsi" w:cstheme="minorHAnsi"/>
        </w:rPr>
        <w:tab/>
      </w:r>
      <w:r w:rsidR="00C02026" w:rsidRPr="00260F69">
        <w:rPr>
          <w:rFonts w:asciiTheme="minorHAnsi" w:hAnsiTheme="minorHAnsi" w:cstheme="minorHAnsi"/>
        </w:rPr>
        <w:tab/>
      </w:r>
      <w:r w:rsidR="00680FD8" w:rsidRPr="00260F69">
        <w:rPr>
          <w:rFonts w:asciiTheme="minorHAnsi" w:hAnsiTheme="minorHAnsi" w:cstheme="minorHAnsi"/>
        </w:rPr>
        <w:tab/>
      </w:r>
      <w:r w:rsidR="00116A85" w:rsidRPr="00260F69">
        <w:rPr>
          <w:rFonts w:asciiTheme="minorHAnsi" w:hAnsiTheme="minorHAnsi" w:cstheme="minorHAnsi"/>
        </w:rPr>
        <w:t>tel:</w:t>
      </w:r>
      <w:r w:rsidR="00D442C1" w:rsidRPr="00260F69">
        <w:rPr>
          <w:rFonts w:asciiTheme="minorHAnsi" w:hAnsiTheme="minorHAnsi" w:cstheme="minorHAnsi"/>
        </w:rPr>
        <w:tab/>
      </w:r>
      <w:r w:rsidR="00C02026" w:rsidRPr="00260F69">
        <w:rPr>
          <w:rFonts w:asciiTheme="minorHAnsi" w:hAnsiTheme="minorHAnsi" w:cstheme="minorHAnsi"/>
        </w:rPr>
        <w:t>222 324</w:t>
      </w:r>
      <w:r w:rsidR="00B411A7" w:rsidRPr="00260F69">
        <w:rPr>
          <w:rFonts w:asciiTheme="minorHAnsi" w:hAnsiTheme="minorHAnsi" w:cstheme="minorHAnsi"/>
        </w:rPr>
        <w:t> </w:t>
      </w:r>
      <w:r w:rsidR="00C02026" w:rsidRPr="00260F69">
        <w:rPr>
          <w:rFonts w:asciiTheme="minorHAnsi" w:hAnsiTheme="minorHAnsi" w:cstheme="minorHAnsi"/>
        </w:rPr>
        <w:t>985</w:t>
      </w:r>
    </w:p>
    <w:p w14:paraId="23122064" w14:textId="45402924" w:rsidR="002234F6" w:rsidRPr="00260F69" w:rsidRDefault="002234F6" w:rsidP="00260F6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260F69" w:rsidRDefault="00185976" w:rsidP="00260F6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497878CD" w:rsidR="00FD1397" w:rsidRPr="00260F69" w:rsidRDefault="009A436D" w:rsidP="00260F69">
      <w:pPr>
        <w:jc w:val="both"/>
        <w:rPr>
          <w:rFonts w:asciiTheme="minorHAnsi" w:hAnsiTheme="minorHAnsi" w:cstheme="minorHAnsi"/>
          <w:sz w:val="24"/>
          <w:szCs w:val="24"/>
        </w:rPr>
      </w:pPr>
      <w:r w:rsidRPr="00260F69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260F69">
        <w:rPr>
          <w:rFonts w:asciiTheme="minorHAnsi" w:hAnsiTheme="minorHAnsi" w:cstheme="minorHAnsi"/>
          <w:sz w:val="24"/>
          <w:szCs w:val="24"/>
        </w:rPr>
        <w:t xml:space="preserve"> </w:t>
      </w:r>
      <w:r w:rsidR="00426CA8">
        <w:rPr>
          <w:rFonts w:asciiTheme="minorHAnsi" w:hAnsiTheme="minorHAnsi" w:cstheme="minorHAnsi"/>
          <w:sz w:val="24"/>
          <w:szCs w:val="24"/>
        </w:rPr>
        <w:t>24.</w:t>
      </w:r>
      <w:r w:rsidR="00D21B8B" w:rsidRPr="00260F69">
        <w:rPr>
          <w:rFonts w:asciiTheme="minorHAnsi" w:hAnsiTheme="minorHAnsi" w:cstheme="minorHAnsi"/>
          <w:sz w:val="24"/>
          <w:szCs w:val="24"/>
        </w:rPr>
        <w:t xml:space="preserve"> </w:t>
      </w:r>
      <w:r w:rsidR="001A59C0">
        <w:rPr>
          <w:rFonts w:asciiTheme="minorHAnsi" w:hAnsiTheme="minorHAnsi" w:cstheme="minorHAnsi"/>
          <w:sz w:val="24"/>
          <w:szCs w:val="24"/>
        </w:rPr>
        <w:t>sr</w:t>
      </w:r>
      <w:r w:rsidR="005552A2">
        <w:rPr>
          <w:rFonts w:asciiTheme="minorHAnsi" w:hAnsiTheme="minorHAnsi" w:cstheme="minorHAnsi"/>
          <w:sz w:val="24"/>
          <w:szCs w:val="24"/>
        </w:rPr>
        <w:t>p</w:t>
      </w:r>
      <w:r w:rsidR="001A59C0">
        <w:rPr>
          <w:rFonts w:asciiTheme="minorHAnsi" w:hAnsiTheme="minorHAnsi" w:cstheme="minorHAnsi"/>
          <w:sz w:val="24"/>
          <w:szCs w:val="24"/>
        </w:rPr>
        <w:t>na</w:t>
      </w:r>
      <w:r w:rsidR="00D21B8B" w:rsidRPr="00260F69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3BD941C4" w14:textId="77777777" w:rsidR="00D21B8B" w:rsidRPr="00260F69" w:rsidRDefault="00D21B8B" w:rsidP="00260F6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C8453" w14:textId="151BBC12" w:rsidR="00B411A7" w:rsidRPr="00260F69" w:rsidRDefault="00B411A7" w:rsidP="00260F69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260F69" w:rsidRDefault="00994DDC" w:rsidP="00260F69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260F69" w:rsidRDefault="00BF1917" w:rsidP="00260F69">
      <w:pPr>
        <w:rPr>
          <w:rFonts w:asciiTheme="minorHAnsi" w:hAnsiTheme="minorHAnsi" w:cstheme="minorHAnsi"/>
          <w:b/>
          <w:sz w:val="24"/>
          <w:szCs w:val="24"/>
        </w:rPr>
      </w:pPr>
      <w:r w:rsidRPr="00260F69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260F69">
        <w:rPr>
          <w:rFonts w:asciiTheme="minorHAnsi" w:hAnsiTheme="minorHAnsi" w:cstheme="minorHAnsi"/>
          <w:sz w:val="24"/>
          <w:szCs w:val="24"/>
        </w:rPr>
        <w:tab/>
      </w:r>
      <w:r w:rsidR="00E825FB" w:rsidRPr="00260F69">
        <w:rPr>
          <w:rFonts w:asciiTheme="minorHAnsi" w:hAnsiTheme="minorHAnsi" w:cstheme="minorHAnsi"/>
          <w:sz w:val="24"/>
          <w:szCs w:val="24"/>
        </w:rPr>
        <w:tab/>
      </w:r>
      <w:r w:rsidR="00E825FB" w:rsidRPr="00260F69">
        <w:rPr>
          <w:rFonts w:asciiTheme="minorHAnsi" w:hAnsiTheme="minorHAnsi" w:cstheme="minorHAnsi"/>
          <w:sz w:val="24"/>
          <w:szCs w:val="24"/>
        </w:rPr>
        <w:tab/>
      </w:r>
      <w:r w:rsidR="00E825FB" w:rsidRPr="00260F69">
        <w:rPr>
          <w:rFonts w:asciiTheme="minorHAnsi" w:hAnsiTheme="minorHAnsi" w:cstheme="minorHAnsi"/>
          <w:sz w:val="24"/>
          <w:szCs w:val="24"/>
        </w:rPr>
        <w:tab/>
      </w:r>
      <w:r w:rsidR="00E825FB" w:rsidRPr="00260F69">
        <w:rPr>
          <w:rFonts w:asciiTheme="minorHAnsi" w:hAnsiTheme="minorHAnsi" w:cstheme="minorHAnsi"/>
          <w:sz w:val="24"/>
          <w:szCs w:val="24"/>
        </w:rPr>
        <w:tab/>
      </w:r>
      <w:r w:rsidR="00E825FB" w:rsidRPr="00260F69">
        <w:rPr>
          <w:rFonts w:asciiTheme="minorHAnsi" w:hAnsiTheme="minorHAnsi" w:cstheme="minorHAnsi"/>
          <w:sz w:val="24"/>
          <w:szCs w:val="24"/>
        </w:rPr>
        <w:tab/>
      </w:r>
      <w:r w:rsidR="00E825FB" w:rsidRPr="00260F69">
        <w:rPr>
          <w:rFonts w:asciiTheme="minorHAnsi" w:hAnsiTheme="minorHAnsi" w:cstheme="minorHAnsi"/>
          <w:sz w:val="24"/>
          <w:szCs w:val="24"/>
        </w:rPr>
        <w:tab/>
      </w:r>
      <w:r w:rsidR="00E825FB" w:rsidRPr="00260F69">
        <w:rPr>
          <w:rFonts w:asciiTheme="minorHAnsi" w:hAnsiTheme="minorHAnsi" w:cstheme="minorHAnsi"/>
          <w:sz w:val="24"/>
          <w:szCs w:val="24"/>
        </w:rPr>
        <w:tab/>
      </w:r>
      <w:r w:rsidR="00E825FB" w:rsidRPr="00260F69">
        <w:rPr>
          <w:rFonts w:asciiTheme="minorHAnsi" w:hAnsiTheme="minorHAnsi" w:cstheme="minorHAnsi"/>
          <w:sz w:val="24"/>
          <w:szCs w:val="24"/>
        </w:rPr>
        <w:tab/>
      </w:r>
      <w:r w:rsidR="002A28AB" w:rsidRPr="00260F69">
        <w:rPr>
          <w:rFonts w:asciiTheme="minorHAnsi" w:hAnsiTheme="minorHAnsi" w:cstheme="minorHAnsi"/>
          <w:sz w:val="24"/>
          <w:szCs w:val="24"/>
        </w:rPr>
        <w:tab/>
      </w:r>
      <w:r w:rsidR="002A28AB" w:rsidRPr="00260F6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260F69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9C523" w14:textId="77777777" w:rsidR="002A6645" w:rsidRDefault="002A6645">
      <w:r>
        <w:separator/>
      </w:r>
    </w:p>
    <w:p w14:paraId="35DCC9ED" w14:textId="77777777" w:rsidR="002A6645" w:rsidRDefault="002A6645"/>
  </w:endnote>
  <w:endnote w:type="continuationSeparator" w:id="0">
    <w:p w14:paraId="670B1400" w14:textId="77777777" w:rsidR="002A6645" w:rsidRDefault="002A6645">
      <w:r>
        <w:continuationSeparator/>
      </w:r>
    </w:p>
    <w:p w14:paraId="2F0B3D03" w14:textId="77777777" w:rsidR="002A6645" w:rsidRDefault="002A66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83837" w14:textId="77777777" w:rsidR="002A6645" w:rsidRDefault="002A6645">
      <w:r>
        <w:separator/>
      </w:r>
    </w:p>
    <w:p w14:paraId="73314C00" w14:textId="77777777" w:rsidR="002A6645" w:rsidRDefault="002A6645"/>
  </w:footnote>
  <w:footnote w:type="continuationSeparator" w:id="0">
    <w:p w14:paraId="6767AB04" w14:textId="77777777" w:rsidR="002A6645" w:rsidRDefault="002A6645">
      <w:r>
        <w:continuationSeparator/>
      </w:r>
    </w:p>
    <w:p w14:paraId="0F18B9C8" w14:textId="77777777" w:rsidR="002A6645" w:rsidRDefault="002A66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15C2C6E"/>
    <w:multiLevelType w:val="hybridMultilevel"/>
    <w:tmpl w:val="C34A75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5276573">
    <w:abstractNumId w:val="14"/>
  </w:num>
  <w:num w:numId="2" w16cid:durableId="11695188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39865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66720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0665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2611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83372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30624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6654540">
    <w:abstractNumId w:val="17"/>
  </w:num>
  <w:num w:numId="10" w16cid:durableId="8839548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493302">
    <w:abstractNumId w:val="8"/>
  </w:num>
  <w:num w:numId="12" w16cid:durableId="12448002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0021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573709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8343905">
    <w:abstractNumId w:val="11"/>
  </w:num>
  <w:num w:numId="16" w16cid:durableId="6102381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09233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A1086"/>
    <w:rsid w:val="001A59C0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0F69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6645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8D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26CA8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1D05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52A2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D5AB0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AF40D7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16B2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vcik@sp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1008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6944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31</cp:revision>
  <cp:lastPrinted>2016-10-12T10:41:00Z</cp:lastPrinted>
  <dcterms:created xsi:type="dcterms:W3CDTF">2020-07-21T13:09:00Z</dcterms:created>
  <dcterms:modified xsi:type="dcterms:W3CDTF">2022-08-24T08:29:00Z</dcterms:modified>
</cp:coreProperties>
</file>