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6F9D67FE" w:rsidR="00D442C1" w:rsidRDefault="002B7592" w:rsidP="00BD7B28">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C64821" w:rsidRPr="00C64821">
        <w:rPr>
          <w:rFonts w:asciiTheme="minorHAnsi" w:hAnsiTheme="minorHAnsi" w:cstheme="minorHAnsi"/>
          <w:b/>
          <w:bCs/>
          <w:sz w:val="24"/>
          <w:szCs w:val="24"/>
        </w:rPr>
        <w:t>Návrh</w:t>
      </w:r>
      <w:r w:rsidR="00C64821">
        <w:rPr>
          <w:rFonts w:asciiTheme="minorHAnsi" w:hAnsiTheme="minorHAnsi" w:cstheme="minorHAnsi"/>
          <w:b/>
          <w:bCs/>
          <w:sz w:val="24"/>
          <w:szCs w:val="24"/>
        </w:rPr>
        <w:t>u</w:t>
      </w:r>
      <w:r w:rsidR="00C64821" w:rsidRPr="00C64821">
        <w:rPr>
          <w:rFonts w:asciiTheme="minorHAnsi" w:hAnsiTheme="minorHAnsi" w:cstheme="minorHAnsi"/>
          <w:b/>
          <w:bCs/>
          <w:sz w:val="24"/>
          <w:szCs w:val="24"/>
        </w:rPr>
        <w:t xml:space="preserve"> nařízení vlády, kterým se mění nařízení vlády č. 595/2006 Sb., o způsobu výpočtu základní částky, která nesmí být sražena povinnému z měsíční mzdy při výkonu rozhodnutí, a o stanovení částky, nad kterou je mzda postižitelná srážkami bez omezení (nařízení o nezabavitelných částkách), ve znění nařízení vlády č. 91/2019 Sb., nařízení vlády č. 62/2020 Sb. a nařízení vlády č. 289/2022 Sb.</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7A3D8FA0" w:rsidR="00DD03DC" w:rsidRPr="00294413" w:rsidRDefault="00DD03DC" w:rsidP="00294413">
      <w:pPr>
        <w:ind w:firstLine="708"/>
        <w:jc w:val="both"/>
        <w:rPr>
          <w:rFonts w:asciiTheme="minorHAnsi" w:hAnsiTheme="minorHAnsi" w:cstheme="minorHAnsi"/>
          <w:sz w:val="24"/>
          <w:szCs w:val="24"/>
        </w:rPr>
      </w:pPr>
      <w:r w:rsidRPr="00294413">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00757C32" w:rsidRPr="00294413">
        <w:rPr>
          <w:rFonts w:asciiTheme="minorHAnsi" w:hAnsiTheme="minorHAnsi" w:cstheme="minorHAnsi"/>
          <w:sz w:val="24"/>
          <w:szCs w:val="24"/>
        </w:rPr>
        <w:t>zásadní</w:t>
      </w:r>
      <w:r w:rsidR="00C50846" w:rsidRPr="00294413">
        <w:rPr>
          <w:rFonts w:asciiTheme="minorHAnsi" w:hAnsiTheme="minorHAnsi" w:cstheme="minorHAnsi"/>
          <w:sz w:val="24"/>
          <w:szCs w:val="24"/>
        </w:rPr>
        <w:t xml:space="preserve"> </w:t>
      </w:r>
      <w:r w:rsidRPr="00294413">
        <w:rPr>
          <w:rFonts w:asciiTheme="minorHAnsi" w:hAnsiTheme="minorHAnsi" w:cstheme="minorHAnsi"/>
          <w:sz w:val="24"/>
          <w:szCs w:val="24"/>
        </w:rPr>
        <w:t>připomínk</w:t>
      </w:r>
      <w:r w:rsidR="00757C32" w:rsidRPr="00294413">
        <w:rPr>
          <w:rFonts w:asciiTheme="minorHAnsi" w:hAnsiTheme="minorHAnsi" w:cstheme="minorHAnsi"/>
          <w:sz w:val="24"/>
          <w:szCs w:val="24"/>
        </w:rPr>
        <w:t>u</w:t>
      </w:r>
      <w:r w:rsidRPr="00294413">
        <w:rPr>
          <w:rFonts w:asciiTheme="minorHAnsi" w:hAnsiTheme="minorHAnsi" w:cstheme="minorHAnsi"/>
          <w:sz w:val="24"/>
          <w:szCs w:val="24"/>
        </w:rPr>
        <w:t>:</w:t>
      </w:r>
    </w:p>
    <w:p w14:paraId="1B717ACD" w14:textId="4A8E4282" w:rsidR="00320994" w:rsidRPr="00294413" w:rsidRDefault="00320994" w:rsidP="00294413">
      <w:pPr>
        <w:jc w:val="both"/>
        <w:rPr>
          <w:rFonts w:asciiTheme="minorHAnsi" w:hAnsiTheme="minorHAnsi" w:cstheme="minorHAnsi"/>
          <w:b/>
          <w:bCs/>
          <w:sz w:val="24"/>
          <w:szCs w:val="24"/>
        </w:rPr>
      </w:pPr>
    </w:p>
    <w:p w14:paraId="7A46B989" w14:textId="77777777" w:rsidR="00294413" w:rsidRPr="00294413" w:rsidRDefault="00294413" w:rsidP="00294413">
      <w:pPr>
        <w:jc w:val="both"/>
        <w:rPr>
          <w:rFonts w:asciiTheme="minorHAnsi" w:hAnsiTheme="minorHAnsi" w:cstheme="minorHAnsi"/>
          <w:b/>
          <w:sz w:val="24"/>
          <w:szCs w:val="24"/>
          <w:u w:val="single"/>
        </w:rPr>
      </w:pPr>
    </w:p>
    <w:p w14:paraId="0648C42B" w14:textId="77777777" w:rsidR="00294413" w:rsidRPr="00294413" w:rsidRDefault="00294413" w:rsidP="00294413">
      <w:pPr>
        <w:tabs>
          <w:tab w:val="left" w:pos="7656"/>
        </w:tabs>
        <w:spacing w:after="200"/>
        <w:ind w:right="279"/>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b/>
          <w:sz w:val="24"/>
          <w:szCs w:val="24"/>
          <w:lang w:eastAsia="en-US"/>
        </w:rPr>
        <w:t xml:space="preserve">Navrhujeme zachovat původní způsob výpočtu nezabavitelné částky, </w:t>
      </w:r>
      <w:r w:rsidRPr="00294413">
        <w:rPr>
          <w:rFonts w:asciiTheme="minorHAnsi" w:eastAsiaTheme="minorHAnsi" w:hAnsiTheme="minorHAnsi" w:cstheme="minorHAnsi"/>
          <w:sz w:val="24"/>
          <w:szCs w:val="24"/>
          <w:lang w:eastAsia="en-US"/>
        </w:rPr>
        <w:t xml:space="preserve">paragrafové znění: </w:t>
      </w:r>
    </w:p>
    <w:p w14:paraId="309A61CA" w14:textId="77777777" w:rsidR="00294413" w:rsidRPr="00294413" w:rsidRDefault="00294413" w:rsidP="00294413">
      <w:pPr>
        <w:spacing w:before="240" w:after="240"/>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sz w:val="24"/>
          <w:szCs w:val="24"/>
          <w:lang w:eastAsia="en-US"/>
        </w:rPr>
        <w:t xml:space="preserve">(1) Základní částka, která nesmí být podle § 278 občanského soudního řádu sražena povinnému z měsíční mzdy, je rovna úhrnu </w:t>
      </w:r>
      <w:r w:rsidRPr="00294413">
        <w:rPr>
          <w:rFonts w:asciiTheme="minorHAnsi" w:eastAsiaTheme="minorHAnsi" w:hAnsiTheme="minorHAnsi" w:cstheme="minorHAnsi"/>
          <w:strike/>
          <w:sz w:val="24"/>
          <w:szCs w:val="24"/>
          <w:lang w:eastAsia="en-US"/>
        </w:rPr>
        <w:t>tří čtvrtin</w:t>
      </w:r>
      <w:r w:rsidRPr="00294413">
        <w:rPr>
          <w:rFonts w:asciiTheme="minorHAnsi" w:eastAsiaTheme="minorHAnsi" w:hAnsiTheme="minorHAnsi" w:cstheme="minorHAnsi"/>
          <w:sz w:val="24"/>
          <w:szCs w:val="24"/>
          <w:lang w:eastAsia="en-US"/>
        </w:rPr>
        <w:t xml:space="preserve"> </w:t>
      </w:r>
      <w:r w:rsidRPr="00294413">
        <w:rPr>
          <w:rFonts w:asciiTheme="minorHAnsi" w:eastAsiaTheme="minorHAnsi" w:hAnsiTheme="minorHAnsi" w:cstheme="minorHAnsi"/>
          <w:b/>
          <w:sz w:val="24"/>
          <w:szCs w:val="24"/>
          <w:lang w:eastAsia="en-US"/>
        </w:rPr>
        <w:t xml:space="preserve">jedenácti dvacetin </w:t>
      </w:r>
      <w:r w:rsidRPr="00294413">
        <w:rPr>
          <w:rFonts w:asciiTheme="minorHAnsi" w:eastAsiaTheme="minorHAnsi" w:hAnsiTheme="minorHAnsi" w:cstheme="minorHAnsi"/>
          <w:sz w:val="24"/>
          <w:szCs w:val="24"/>
          <w:lang w:eastAsia="en-US"/>
        </w:rPr>
        <w:t>součtu částky životního minima jednotlivce</w:t>
      </w:r>
      <w:r w:rsidRPr="00294413">
        <w:rPr>
          <w:rFonts w:asciiTheme="minorHAnsi" w:eastAsiaTheme="minorHAnsi" w:hAnsiTheme="minorHAnsi" w:cstheme="minorHAnsi"/>
          <w:sz w:val="24"/>
          <w:szCs w:val="24"/>
          <w:vertAlign w:val="superscript"/>
          <w:lang w:eastAsia="en-US"/>
        </w:rPr>
        <w:t>1)</w:t>
      </w:r>
      <w:r w:rsidRPr="00294413">
        <w:rPr>
          <w:rFonts w:asciiTheme="minorHAnsi" w:eastAsiaTheme="minorHAnsi" w:hAnsiTheme="minorHAnsi" w:cstheme="minorHAnsi"/>
          <w:sz w:val="24"/>
          <w:szCs w:val="24"/>
          <w:lang w:eastAsia="en-US"/>
        </w:rPr>
        <w:t xml:space="preserve"> a částky normativních nákladů na bydlení pro </w:t>
      </w:r>
      <w:r w:rsidRPr="00294413">
        <w:rPr>
          <w:rFonts w:asciiTheme="minorHAnsi" w:eastAsiaTheme="minorHAnsi" w:hAnsiTheme="minorHAnsi" w:cstheme="minorHAnsi"/>
          <w:strike/>
          <w:sz w:val="24"/>
          <w:szCs w:val="24"/>
          <w:lang w:eastAsia="en-US"/>
        </w:rPr>
        <w:t>jednu osobu</w:t>
      </w:r>
      <w:r w:rsidRPr="00294413">
        <w:rPr>
          <w:rFonts w:asciiTheme="minorHAnsi" w:eastAsiaTheme="minorHAnsi" w:hAnsiTheme="minorHAnsi" w:cstheme="minorHAnsi"/>
          <w:sz w:val="24"/>
          <w:szCs w:val="24"/>
          <w:lang w:eastAsia="en-US"/>
        </w:rPr>
        <w:t xml:space="preserve"> </w:t>
      </w:r>
      <w:r w:rsidRPr="00294413">
        <w:rPr>
          <w:rFonts w:asciiTheme="minorHAnsi" w:eastAsiaTheme="minorHAnsi" w:hAnsiTheme="minorHAnsi" w:cstheme="minorHAnsi"/>
          <w:b/>
          <w:sz w:val="24"/>
          <w:szCs w:val="24"/>
          <w:lang w:eastAsia="en-US"/>
        </w:rPr>
        <w:t>jednu nebo dvě osoby</w:t>
      </w:r>
      <w:r w:rsidRPr="00294413">
        <w:rPr>
          <w:rFonts w:asciiTheme="minorHAnsi" w:eastAsiaTheme="minorHAnsi" w:hAnsiTheme="minorHAnsi" w:cstheme="minorHAnsi"/>
          <w:sz w:val="24"/>
          <w:szCs w:val="24"/>
          <w:lang w:eastAsia="en-US"/>
        </w:rPr>
        <w:t xml:space="preserve"> podle zvláštního právního předpisu (dále jen "nezabavitelná částka") na osobu povinného, a jedné třetiny nezabavitelné částky na každou osobu, které je povinen poskytovat výživné. Částka normativních nákladů na bydlení pro jednu </w:t>
      </w:r>
      <w:r w:rsidRPr="00294413">
        <w:rPr>
          <w:rFonts w:asciiTheme="minorHAnsi" w:eastAsiaTheme="minorHAnsi" w:hAnsiTheme="minorHAnsi" w:cstheme="minorHAnsi"/>
          <w:strike/>
          <w:sz w:val="24"/>
          <w:szCs w:val="24"/>
          <w:lang w:eastAsia="en-US"/>
        </w:rPr>
        <w:t>osobu</w:t>
      </w:r>
      <w:r w:rsidRPr="00294413">
        <w:rPr>
          <w:rFonts w:asciiTheme="minorHAnsi" w:eastAsiaTheme="minorHAnsi" w:hAnsiTheme="minorHAnsi" w:cstheme="minorHAnsi"/>
          <w:sz w:val="24"/>
          <w:szCs w:val="24"/>
          <w:lang w:eastAsia="en-US"/>
        </w:rPr>
        <w:t xml:space="preserve"> </w:t>
      </w:r>
      <w:r w:rsidRPr="00294413">
        <w:rPr>
          <w:rFonts w:asciiTheme="minorHAnsi" w:eastAsiaTheme="minorHAnsi" w:hAnsiTheme="minorHAnsi" w:cstheme="minorHAnsi"/>
          <w:b/>
          <w:sz w:val="24"/>
          <w:szCs w:val="24"/>
          <w:lang w:eastAsia="en-US"/>
        </w:rPr>
        <w:t xml:space="preserve">nebo dvě osoby </w:t>
      </w:r>
      <w:r w:rsidRPr="00294413">
        <w:rPr>
          <w:rFonts w:asciiTheme="minorHAnsi" w:eastAsiaTheme="minorHAnsi" w:hAnsiTheme="minorHAnsi" w:cstheme="minorHAnsi"/>
          <w:sz w:val="24"/>
          <w:szCs w:val="24"/>
          <w:lang w:eastAsia="en-US"/>
        </w:rPr>
        <w:t xml:space="preserve">se stanoví pro byt užívaný na základě nájemní smlouvy v obci </w:t>
      </w:r>
      <w:r w:rsidRPr="00294413">
        <w:rPr>
          <w:rFonts w:asciiTheme="minorHAnsi" w:eastAsiaTheme="minorHAnsi" w:hAnsiTheme="minorHAnsi" w:cstheme="minorHAnsi"/>
          <w:strike/>
          <w:sz w:val="24"/>
          <w:szCs w:val="24"/>
          <w:lang w:eastAsia="en-US"/>
        </w:rPr>
        <w:t>od 50 000 do 99 999 obyvatel</w:t>
      </w:r>
      <w:r w:rsidRPr="00294413">
        <w:rPr>
          <w:rFonts w:asciiTheme="minorHAnsi" w:eastAsiaTheme="minorHAnsi" w:hAnsiTheme="minorHAnsi" w:cstheme="minorHAnsi"/>
          <w:sz w:val="24"/>
          <w:szCs w:val="24"/>
          <w:lang w:eastAsia="en-US"/>
        </w:rPr>
        <w:t xml:space="preserve"> </w:t>
      </w:r>
      <w:r w:rsidRPr="00294413">
        <w:rPr>
          <w:rFonts w:asciiTheme="minorHAnsi" w:eastAsiaTheme="minorHAnsi" w:hAnsiTheme="minorHAnsi" w:cstheme="minorHAnsi"/>
          <w:b/>
          <w:sz w:val="24"/>
          <w:szCs w:val="24"/>
          <w:lang w:eastAsia="en-US"/>
        </w:rPr>
        <w:t>s alespoň 70 000 obyvateli</w:t>
      </w:r>
      <w:r w:rsidRPr="00294413">
        <w:rPr>
          <w:rFonts w:asciiTheme="minorHAnsi" w:eastAsiaTheme="minorHAnsi" w:hAnsiTheme="minorHAnsi" w:cstheme="minorHAnsi"/>
          <w:sz w:val="24"/>
          <w:szCs w:val="24"/>
          <w:vertAlign w:val="superscript"/>
          <w:lang w:eastAsia="en-US"/>
        </w:rPr>
        <w:t>2)</w:t>
      </w:r>
      <w:r w:rsidRPr="00294413">
        <w:rPr>
          <w:rFonts w:asciiTheme="minorHAnsi" w:eastAsiaTheme="minorHAnsi" w:hAnsiTheme="minorHAnsi" w:cstheme="minorHAnsi"/>
          <w:sz w:val="24"/>
          <w:szCs w:val="24"/>
          <w:lang w:eastAsia="en-US"/>
        </w:rPr>
        <w:t>.</w:t>
      </w:r>
    </w:p>
    <w:p w14:paraId="2DA656C1" w14:textId="77777777" w:rsidR="00294413" w:rsidRPr="00294413" w:rsidRDefault="00294413" w:rsidP="00294413">
      <w:pPr>
        <w:spacing w:after="200"/>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sz w:val="24"/>
          <w:szCs w:val="24"/>
          <w:u w:val="single"/>
          <w:lang w:eastAsia="en-US"/>
        </w:rPr>
        <w:t>Odůvodnění</w:t>
      </w:r>
      <w:r w:rsidRPr="00294413">
        <w:rPr>
          <w:rFonts w:asciiTheme="minorHAnsi" w:eastAsiaTheme="minorHAnsi" w:hAnsiTheme="minorHAnsi" w:cstheme="minorHAnsi"/>
          <w:sz w:val="24"/>
          <w:szCs w:val="24"/>
          <w:lang w:eastAsia="en-US"/>
        </w:rPr>
        <w:t xml:space="preserve">: </w:t>
      </w:r>
    </w:p>
    <w:p w14:paraId="615AF1D1" w14:textId="77777777" w:rsidR="00294413" w:rsidRPr="00294413" w:rsidRDefault="00294413" w:rsidP="00294413">
      <w:pPr>
        <w:tabs>
          <w:tab w:val="left" w:pos="7656"/>
        </w:tabs>
        <w:spacing w:after="200"/>
        <w:ind w:right="279"/>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sz w:val="24"/>
          <w:szCs w:val="24"/>
          <w:lang w:eastAsia="en-US"/>
        </w:rPr>
        <w:t xml:space="preserve">Institut nezabavitelné částky v exekuci a insolvenci zajišťuje povinným zaplacení základních životních potřeb, především nákladů na bydlení, potravin a nutných nákladů při péči o děti. </w:t>
      </w:r>
    </w:p>
    <w:p w14:paraId="78FBD89B" w14:textId="77777777" w:rsidR="00294413" w:rsidRPr="00294413" w:rsidRDefault="00294413" w:rsidP="00294413">
      <w:pPr>
        <w:tabs>
          <w:tab w:val="left" w:pos="7656"/>
        </w:tabs>
        <w:spacing w:after="200"/>
        <w:ind w:right="279"/>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sz w:val="24"/>
          <w:szCs w:val="24"/>
          <w:lang w:eastAsia="en-US"/>
        </w:rPr>
        <w:t xml:space="preserve">Zvyšující se inflace a prudký nárůst cen energií, pohonných hmot, potravin a očekávání dalšího růstu životních nákladů i v roce 2023 se logicky odráží v navýšení životního minima i normativních nákladů na bydlení. </w:t>
      </w:r>
    </w:p>
    <w:p w14:paraId="70B1B1E9" w14:textId="77777777" w:rsidR="00294413" w:rsidRPr="00294413" w:rsidRDefault="00294413" w:rsidP="00294413">
      <w:pPr>
        <w:tabs>
          <w:tab w:val="left" w:pos="7656"/>
        </w:tabs>
        <w:spacing w:after="200"/>
        <w:ind w:right="279"/>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sz w:val="24"/>
          <w:szCs w:val="24"/>
          <w:lang w:eastAsia="en-US"/>
        </w:rPr>
        <w:t xml:space="preserve">Pokud nárůst nezabavitelného minima nebude korespondovat s inflací a nárůstem životních nákladů, hrozí další zadlužování dlužníků v exekuci a v oddlužení, kteří nebudou mít na zaplacení základních životních nákladů, hrozí ztráta bydlení, odchod do šedé ekonomiky, selhání v oddlužení a jeho zrušení pro vznik nových dluhů. Nedojde tedy k ochraně oprávněných zájmů věřitelů, kdy místo poklesu srážek, které by nastalo při adekvátním zvýšení nezabavitelné částky, dojde k úplné absenci srážení v případě odchodu dlužníků z legální práce v případě exekučních řízení. </w:t>
      </w:r>
    </w:p>
    <w:p w14:paraId="6C031E5E" w14:textId="77777777" w:rsidR="00294413" w:rsidRPr="00294413" w:rsidRDefault="00294413" w:rsidP="00294413">
      <w:pPr>
        <w:tabs>
          <w:tab w:val="left" w:pos="7656"/>
        </w:tabs>
        <w:spacing w:after="200"/>
        <w:ind w:right="279"/>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sz w:val="24"/>
          <w:szCs w:val="24"/>
          <w:lang w:eastAsia="en-US"/>
        </w:rPr>
        <w:lastRenderedPageBreak/>
        <w:t xml:space="preserve">Snížení nezabavitelné částky pro dlužníky v exekuci a v insolvenci přinese v důsledku výrazné zvýšení nákladů státu. Odchod lidí z legální ekonomiky znamená nárůst výplat dávek státní sociální podpory a dávek hmotné nouze. </w:t>
      </w:r>
    </w:p>
    <w:p w14:paraId="4EB0FD8D" w14:textId="77777777" w:rsidR="00294413" w:rsidRPr="00294413" w:rsidRDefault="00294413" w:rsidP="00294413">
      <w:pPr>
        <w:tabs>
          <w:tab w:val="left" w:pos="7656"/>
        </w:tabs>
        <w:spacing w:after="200"/>
        <w:ind w:right="279"/>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sz w:val="24"/>
          <w:szCs w:val="24"/>
          <w:lang w:eastAsia="en-US"/>
        </w:rPr>
        <w:t xml:space="preserve">V případě zvýšení životního minima a normativních nákladů na bydlení, které nebudou reflektovány v adekvátním růstu nezabavitelné částky, dojde k obrovskému rozevření nůžek mezi dlužníkem, který pracuje a dlužníkem, který nepracuje. Ještě výrazně výhodněji bude vycházet nepracovat. </w:t>
      </w:r>
    </w:p>
    <w:p w14:paraId="76FBD85F" w14:textId="77777777" w:rsidR="00294413" w:rsidRPr="00294413" w:rsidRDefault="00294413" w:rsidP="00294413">
      <w:pPr>
        <w:tabs>
          <w:tab w:val="left" w:pos="7656"/>
        </w:tabs>
        <w:spacing w:after="200"/>
        <w:ind w:right="279"/>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color w:val="000000"/>
          <w:sz w:val="24"/>
          <w:szCs w:val="24"/>
          <w:shd w:val="clear" w:color="auto" w:fill="FFFFFF"/>
          <w:lang w:eastAsia="en-US"/>
        </w:rPr>
        <w:t xml:space="preserve">Zatímco při nastavení nařízení vlády o nezabavitelných částkách bez změny podílu na jednotlivce by nezabavitelná částka splácejícího dlužníka představovala 15 342,75 Kč, nově by se tato částka měla snížit na 11 251,35 Kč. Má-li dlužník manžela či manželku a nezaopatřené děti, </w:t>
      </w:r>
      <w:proofErr w:type="gramStart"/>
      <w:r w:rsidRPr="00294413">
        <w:rPr>
          <w:rFonts w:asciiTheme="minorHAnsi" w:eastAsiaTheme="minorHAnsi" w:hAnsiTheme="minorHAnsi" w:cstheme="minorHAnsi"/>
          <w:color w:val="000000"/>
          <w:sz w:val="24"/>
          <w:szCs w:val="24"/>
          <w:shd w:val="clear" w:color="auto" w:fill="FFFFFF"/>
          <w:lang w:eastAsia="en-US"/>
        </w:rPr>
        <w:t>sníží</w:t>
      </w:r>
      <w:proofErr w:type="gramEnd"/>
      <w:r w:rsidRPr="00294413">
        <w:rPr>
          <w:rFonts w:asciiTheme="minorHAnsi" w:eastAsiaTheme="minorHAnsi" w:hAnsiTheme="minorHAnsi" w:cstheme="minorHAnsi"/>
          <w:color w:val="000000"/>
          <w:sz w:val="24"/>
          <w:szCs w:val="24"/>
          <w:shd w:val="clear" w:color="auto" w:fill="FFFFFF"/>
          <w:lang w:eastAsia="en-US"/>
        </w:rPr>
        <w:t xml:space="preserve"> se spolu s tím i částka určená na jejich výživu, a to z částky 5 114,25 Kč na osobu na částku 3 750,45 Kč na osobu. Při aktuálně klesající hodnotě peněz v důsledku dvouciferné inflace by tak došlo k výraznému poklesu životní úrovně nejen splácejících dlužníků, ale i těch, kteří jsou závislí na jejich příjmech ze zaměstnání či z postižitelných sociálních dávek (důchodů, rodičovského příspěvku a dalších). Klesla by tedy i částka určená na plnění vyživovací povinnosti vůči dětem. Tříčlenná rodina s jedním dlužníkem, manželkou a dvěma dětmi, která by si od ledna 2023 bez této změny mohla ponechat až 30 685,50 Kč, bude moci nově počítat jen s příjmy do 22 502,70 Kč (v závislosti na výši postižitelných příjmů). Vláda, která na jedné straně vyrovnává ztrátu reálných příjmů obyvatel zvyšováním životního minima a normativních nákladů na bydlení, by tedy této čtyřčlenné rodině naopak její disponibilní příjem v současné nelehké ekonomické situaci snížila až o 8 182,80 Kč měsíčně.</w:t>
      </w:r>
    </w:p>
    <w:p w14:paraId="36A89FA9" w14:textId="77777777" w:rsidR="00294413" w:rsidRPr="00294413" w:rsidRDefault="00294413" w:rsidP="00294413">
      <w:pPr>
        <w:tabs>
          <w:tab w:val="left" w:pos="7656"/>
        </w:tabs>
        <w:spacing w:after="200"/>
        <w:ind w:right="279"/>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sz w:val="24"/>
          <w:szCs w:val="24"/>
          <w:lang w:eastAsia="en-US"/>
        </w:rPr>
        <w:t xml:space="preserve">Navrhovaná změna výpočtu nezabavitelné částky jde naprosto proti smyslu programového prohlášení vlády, ve kterém se vláda zavazuje učinit opatření proti nelegální práci, a kde výslovně stanoví, že “pracovat se musí vyplatit”. </w:t>
      </w:r>
    </w:p>
    <w:p w14:paraId="7E01E6A4" w14:textId="77777777" w:rsidR="00294413" w:rsidRPr="00294413" w:rsidRDefault="00294413" w:rsidP="00294413">
      <w:pPr>
        <w:tabs>
          <w:tab w:val="left" w:pos="7656"/>
        </w:tabs>
        <w:spacing w:after="200"/>
        <w:ind w:right="279"/>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sz w:val="24"/>
          <w:szCs w:val="24"/>
          <w:lang w:eastAsia="en-US"/>
        </w:rPr>
        <w:t xml:space="preserve">Důvodová zpráva uvádí tabulku, která vyčísluje rozdíl mezi současnou a budoucí výší </w:t>
      </w:r>
      <w:r w:rsidRPr="00294413">
        <w:rPr>
          <w:rFonts w:asciiTheme="minorHAnsi" w:eastAsiaTheme="minorHAnsi" w:hAnsiTheme="minorHAnsi" w:cstheme="minorHAnsi"/>
          <w:b/>
          <w:sz w:val="24"/>
          <w:szCs w:val="24"/>
          <w:u w:val="single"/>
          <w:lang w:eastAsia="en-US"/>
        </w:rPr>
        <w:t>základní</w:t>
      </w:r>
      <w:r w:rsidRPr="00294413">
        <w:rPr>
          <w:rFonts w:asciiTheme="minorHAnsi" w:eastAsiaTheme="minorHAnsi" w:hAnsiTheme="minorHAnsi" w:cstheme="minorHAnsi"/>
          <w:sz w:val="24"/>
          <w:szCs w:val="24"/>
          <w:lang w:eastAsia="en-US"/>
        </w:rPr>
        <w:t xml:space="preserve"> nezabavitelné částky v případě, že se výpočet od 1. 1. 2023 nezmění. Toto srovnání je ale velmi tendenční a vůbec nereflektuje skutečný rozdíl nikoli v základní, ale </w:t>
      </w:r>
      <w:r w:rsidRPr="00294413">
        <w:rPr>
          <w:rFonts w:asciiTheme="minorHAnsi" w:eastAsiaTheme="minorHAnsi" w:hAnsiTheme="minorHAnsi" w:cstheme="minorHAnsi"/>
          <w:b/>
          <w:sz w:val="24"/>
          <w:szCs w:val="24"/>
          <w:u w:val="single"/>
          <w:lang w:eastAsia="en-US"/>
        </w:rPr>
        <w:t>celkové výši nezabavitelné částky</w:t>
      </w:r>
      <w:r w:rsidRPr="00294413">
        <w:rPr>
          <w:rFonts w:asciiTheme="minorHAnsi" w:eastAsiaTheme="minorHAnsi" w:hAnsiTheme="minorHAnsi" w:cstheme="minorHAnsi"/>
          <w:sz w:val="24"/>
          <w:szCs w:val="24"/>
          <w:lang w:eastAsia="en-US"/>
        </w:rPr>
        <w:t>, která dlužníkovi skutečně zůstane. Výsledný rozdíl mezi současnou a budoucí celkovou nezabavitelnou částkou je ve skutečnosti výrazně nižší, než uvádí zmíněná tabulka.</w:t>
      </w:r>
    </w:p>
    <w:p w14:paraId="29FA1006" w14:textId="77777777" w:rsidR="00294413" w:rsidRPr="00294413" w:rsidRDefault="00294413" w:rsidP="00294413">
      <w:pPr>
        <w:tabs>
          <w:tab w:val="left" w:pos="7656"/>
        </w:tabs>
        <w:spacing w:after="200"/>
        <w:ind w:right="279"/>
        <w:jc w:val="both"/>
        <w:rPr>
          <w:rFonts w:asciiTheme="minorHAnsi" w:eastAsiaTheme="minorHAnsi" w:hAnsiTheme="minorHAnsi" w:cstheme="minorHAnsi"/>
          <w:sz w:val="24"/>
          <w:szCs w:val="24"/>
          <w:lang w:eastAsia="en-US"/>
        </w:rPr>
      </w:pPr>
      <w:r w:rsidRPr="00294413">
        <w:rPr>
          <w:rFonts w:asciiTheme="minorHAnsi" w:eastAsiaTheme="minorHAnsi" w:hAnsiTheme="minorHAnsi" w:cstheme="minorHAnsi"/>
          <w:sz w:val="24"/>
          <w:szCs w:val="24"/>
          <w:lang w:eastAsia="en-US"/>
        </w:rPr>
        <w:t>Při ponechání současného způsobu výpočtu by nízko a středně příjmový lidé měli v exekuci na nepřednostní pohledávku necelých 1.500 Kč více než nyní a v oddlužení by středně a nízkopříjmovým dlužníkům zůstávalo zpravidla o necelých 2.900 Kč více než nyní. Z těchto částek je patrné, že nejde o dramatické zvýšení a nemůžeme zde mluvit ani o vyrovnání zvýšených životních nákladů, natož o přílišném zvýšení částky. Pokud nastane u mnoha dlužníků situace, kdy jim nebude možné srážet, pak je na místě řešit spíše způsob započítávání vyživovaných osob a velmi nízké mzdy značné části dlužníků.</w:t>
      </w:r>
    </w:p>
    <w:p w14:paraId="79458620" w14:textId="77777777" w:rsidR="00294413" w:rsidRPr="00294413" w:rsidRDefault="00294413" w:rsidP="00294413">
      <w:pPr>
        <w:tabs>
          <w:tab w:val="left" w:pos="7656"/>
        </w:tabs>
        <w:spacing w:before="240" w:after="180"/>
        <w:jc w:val="both"/>
        <w:rPr>
          <w:rFonts w:asciiTheme="minorHAnsi" w:eastAsiaTheme="minorHAnsi" w:hAnsiTheme="minorHAnsi" w:cstheme="minorHAnsi"/>
          <w:color w:val="222222"/>
          <w:sz w:val="24"/>
          <w:szCs w:val="24"/>
          <w:lang w:eastAsia="en-US"/>
        </w:rPr>
      </w:pPr>
      <w:r w:rsidRPr="00294413">
        <w:rPr>
          <w:rFonts w:asciiTheme="minorHAnsi" w:eastAsiaTheme="minorHAnsi" w:hAnsiTheme="minorHAnsi" w:cstheme="minorHAnsi"/>
          <w:sz w:val="24"/>
          <w:szCs w:val="24"/>
          <w:lang w:eastAsia="en-US"/>
        </w:rPr>
        <w:t xml:space="preserve">K argumentu předkladatele, že navýšení nezabavitelné částky znesnadňuje vstup do oddlužení: Domníváme se, že toto </w:t>
      </w:r>
      <w:proofErr w:type="gramStart"/>
      <w:r w:rsidRPr="00294413">
        <w:rPr>
          <w:rFonts w:asciiTheme="minorHAnsi" w:eastAsiaTheme="minorHAnsi" w:hAnsiTheme="minorHAnsi" w:cstheme="minorHAnsi"/>
          <w:sz w:val="24"/>
          <w:szCs w:val="24"/>
          <w:lang w:eastAsia="en-US"/>
        </w:rPr>
        <w:t>řeší</w:t>
      </w:r>
      <w:proofErr w:type="gramEnd"/>
      <w:r w:rsidRPr="00294413">
        <w:rPr>
          <w:rFonts w:asciiTheme="minorHAnsi" w:eastAsiaTheme="minorHAnsi" w:hAnsiTheme="minorHAnsi" w:cstheme="minorHAnsi"/>
          <w:sz w:val="24"/>
          <w:szCs w:val="24"/>
          <w:lang w:eastAsia="en-US"/>
        </w:rPr>
        <w:t xml:space="preserve"> novela insolvenčního zákona,</w:t>
      </w:r>
      <w:r w:rsidRPr="00294413">
        <w:rPr>
          <w:rFonts w:asciiTheme="minorHAnsi" w:eastAsiaTheme="minorHAnsi" w:hAnsiTheme="minorHAnsi" w:cstheme="minorHAnsi"/>
          <w:color w:val="222222"/>
          <w:sz w:val="24"/>
          <w:szCs w:val="24"/>
          <w:lang w:eastAsia="en-US"/>
        </w:rPr>
        <w:t xml:space="preserve"> kde je dlužníku umožněno, aby se v rámci oddlužení zavázal k hrazení vyšších splátek, než kolik je mu možné podle předpisů o nezabavitelné částce srazit. Je samozřejmě otázkou, nakolik budou při růstu </w:t>
      </w:r>
      <w:r w:rsidRPr="00294413">
        <w:rPr>
          <w:rFonts w:asciiTheme="minorHAnsi" w:eastAsiaTheme="minorHAnsi" w:hAnsiTheme="minorHAnsi" w:cstheme="minorHAnsi"/>
          <w:color w:val="222222"/>
          <w:sz w:val="24"/>
          <w:szCs w:val="24"/>
          <w:lang w:eastAsia="en-US"/>
        </w:rPr>
        <w:lastRenderedPageBreak/>
        <w:t xml:space="preserve">životních nákladů lidé v oddlužení schopni hradit vyšší splátky; velmi důležité je však ponechat tuto volbu na samotných dlužnících, aby svůj vstup do oddlužení či setrvání v něm zvážili. </w:t>
      </w:r>
    </w:p>
    <w:p w14:paraId="7B37728E" w14:textId="77777777" w:rsidR="00294413" w:rsidRPr="00294413" w:rsidRDefault="00294413" w:rsidP="00294413">
      <w:pPr>
        <w:tabs>
          <w:tab w:val="left" w:pos="7656"/>
        </w:tabs>
        <w:spacing w:before="240" w:after="180"/>
        <w:jc w:val="both"/>
        <w:rPr>
          <w:rFonts w:asciiTheme="minorHAnsi" w:eastAsiaTheme="minorHAnsi" w:hAnsiTheme="minorHAnsi" w:cstheme="minorHAnsi"/>
          <w:color w:val="222222"/>
          <w:sz w:val="24"/>
          <w:szCs w:val="24"/>
          <w:lang w:eastAsia="en-US"/>
        </w:rPr>
      </w:pPr>
      <w:r w:rsidRPr="00294413">
        <w:rPr>
          <w:rFonts w:asciiTheme="minorHAnsi" w:eastAsiaTheme="minorHAnsi" w:hAnsiTheme="minorHAnsi" w:cstheme="minorHAnsi"/>
          <w:color w:val="222222"/>
          <w:sz w:val="24"/>
          <w:szCs w:val="24"/>
          <w:lang w:eastAsia="en-US"/>
        </w:rPr>
        <w:t xml:space="preserve">Závěrem je nutno podotknout, že současný způsob výpočtu nezabavitelné částky je nastaven tak, aby kopíroval růst životních nákladů. Není možné, aby zákonodárce bez ohledu na reálnou situaci tyto valorizační mechanismy měnil.  De facto by tím říkal, že lidem v exekuci či insolvenci rostou životní náklady méně než zbytku populace nebo rovnou počítal s tím, že lidé v exekuci a insolvenci budou kompenzovat rostoucí příjmy nelegální prací. </w:t>
      </w:r>
    </w:p>
    <w:p w14:paraId="1932B862" w14:textId="77777777" w:rsidR="00294413" w:rsidRPr="00294413" w:rsidRDefault="00294413" w:rsidP="00294413">
      <w:pPr>
        <w:pBdr>
          <w:bottom w:val="single" w:sz="4" w:space="1" w:color="auto"/>
        </w:pBdr>
        <w:shd w:val="clear" w:color="auto" w:fill="FFFFFF"/>
        <w:jc w:val="both"/>
        <w:rPr>
          <w:rFonts w:asciiTheme="minorHAnsi" w:eastAsiaTheme="minorHAnsi" w:hAnsiTheme="minorHAnsi" w:cstheme="minorHAnsi"/>
          <w:b/>
          <w:bCs/>
          <w:sz w:val="24"/>
          <w:szCs w:val="24"/>
          <w:lang w:eastAsia="en-US"/>
        </w:rPr>
      </w:pPr>
      <w:r w:rsidRPr="00294413">
        <w:rPr>
          <w:rFonts w:asciiTheme="minorHAnsi" w:eastAsiaTheme="minorHAnsi" w:hAnsiTheme="minorHAnsi" w:cstheme="minorHAnsi"/>
          <w:b/>
          <w:bCs/>
          <w:sz w:val="24"/>
          <w:szCs w:val="24"/>
          <w:lang w:eastAsia="en-US"/>
        </w:rPr>
        <w:t>tato připomínka je zásadní</w:t>
      </w:r>
    </w:p>
    <w:p w14:paraId="49D858C0" w14:textId="77777777" w:rsidR="00294413" w:rsidRPr="00294413" w:rsidRDefault="00294413" w:rsidP="00294413">
      <w:pPr>
        <w:shd w:val="clear" w:color="auto" w:fill="FFFFFF"/>
        <w:jc w:val="both"/>
        <w:rPr>
          <w:rFonts w:asciiTheme="minorHAnsi" w:eastAsiaTheme="minorHAnsi" w:hAnsiTheme="minorHAnsi" w:cstheme="minorHAnsi"/>
          <w:sz w:val="24"/>
          <w:szCs w:val="24"/>
          <w:lang w:eastAsia="en-US"/>
        </w:rPr>
      </w:pPr>
    </w:p>
    <w:p w14:paraId="53427212" w14:textId="77777777" w:rsidR="00C64821" w:rsidRPr="00294413" w:rsidRDefault="00C64821" w:rsidP="00294413">
      <w:pPr>
        <w:widowControl w:val="0"/>
        <w:autoSpaceDE w:val="0"/>
        <w:autoSpaceDN w:val="0"/>
        <w:adjustRightInd w:val="0"/>
        <w:jc w:val="both"/>
        <w:rPr>
          <w:rFonts w:asciiTheme="minorHAnsi" w:hAnsiTheme="minorHAnsi" w:cstheme="minorHAnsi"/>
          <w:sz w:val="24"/>
          <w:szCs w:val="24"/>
          <w:u w:val="single"/>
        </w:rPr>
      </w:pPr>
    </w:p>
    <w:p w14:paraId="4771BF7F" w14:textId="6599AB03" w:rsidR="00116A85" w:rsidRPr="00294413" w:rsidRDefault="001932EA" w:rsidP="00294413">
      <w:pPr>
        <w:widowControl w:val="0"/>
        <w:autoSpaceDE w:val="0"/>
        <w:autoSpaceDN w:val="0"/>
        <w:adjustRightInd w:val="0"/>
        <w:jc w:val="both"/>
        <w:rPr>
          <w:rFonts w:asciiTheme="minorHAnsi" w:hAnsiTheme="minorHAnsi" w:cstheme="minorHAnsi"/>
          <w:sz w:val="24"/>
          <w:szCs w:val="24"/>
          <w:u w:val="single"/>
        </w:rPr>
      </w:pPr>
      <w:r w:rsidRPr="00294413">
        <w:rPr>
          <w:rFonts w:asciiTheme="minorHAnsi" w:hAnsiTheme="minorHAnsi" w:cstheme="minorHAnsi"/>
          <w:sz w:val="24"/>
          <w:szCs w:val="24"/>
          <w:u w:val="single"/>
        </w:rPr>
        <w:t>K</w:t>
      </w:r>
      <w:r w:rsidR="00116A85" w:rsidRPr="00294413">
        <w:rPr>
          <w:rFonts w:asciiTheme="minorHAnsi" w:hAnsiTheme="minorHAnsi" w:cstheme="minorHAnsi"/>
          <w:sz w:val="24"/>
          <w:szCs w:val="24"/>
          <w:u w:val="single"/>
        </w:rPr>
        <w:t>ontaktní osob</w:t>
      </w:r>
      <w:r w:rsidR="00C02026" w:rsidRPr="00294413">
        <w:rPr>
          <w:rFonts w:asciiTheme="minorHAnsi" w:hAnsiTheme="minorHAnsi" w:cstheme="minorHAnsi"/>
          <w:sz w:val="24"/>
          <w:szCs w:val="24"/>
          <w:u w:val="single"/>
        </w:rPr>
        <w:t>y</w:t>
      </w:r>
      <w:r w:rsidR="00116A85" w:rsidRPr="00294413">
        <w:rPr>
          <w:rFonts w:asciiTheme="minorHAnsi" w:hAnsiTheme="minorHAnsi" w:cstheme="minorHAnsi"/>
          <w:sz w:val="24"/>
          <w:szCs w:val="24"/>
          <w:u w:val="single"/>
        </w:rPr>
        <w:t>:</w:t>
      </w:r>
    </w:p>
    <w:p w14:paraId="42B3112F" w14:textId="706E7BEF" w:rsidR="00E73AD9" w:rsidRPr="00294413" w:rsidRDefault="00E73AD9" w:rsidP="00294413">
      <w:pPr>
        <w:jc w:val="both"/>
        <w:rPr>
          <w:rFonts w:asciiTheme="minorHAnsi" w:eastAsia="Calibri" w:hAnsiTheme="minorHAnsi" w:cstheme="minorHAnsi"/>
          <w:sz w:val="24"/>
          <w:szCs w:val="24"/>
          <w:lang w:eastAsia="en-US"/>
        </w:rPr>
      </w:pPr>
    </w:p>
    <w:p w14:paraId="43AD258A" w14:textId="209EA53A" w:rsidR="00294413" w:rsidRPr="00294413" w:rsidRDefault="00294413" w:rsidP="00294413">
      <w:pPr>
        <w:shd w:val="clear" w:color="auto" w:fill="FFFFFF"/>
        <w:jc w:val="both"/>
        <w:rPr>
          <w:rFonts w:asciiTheme="minorHAnsi" w:hAnsiTheme="minorHAnsi" w:cstheme="minorHAnsi"/>
          <w:bCs/>
          <w:color w:val="000000" w:themeColor="text1"/>
          <w:sz w:val="24"/>
          <w:szCs w:val="24"/>
        </w:rPr>
      </w:pPr>
      <w:r w:rsidRPr="00294413">
        <w:rPr>
          <w:rFonts w:asciiTheme="minorHAnsi" w:hAnsiTheme="minorHAnsi" w:cstheme="minorHAnsi"/>
          <w:bCs/>
          <w:color w:val="000000" w:themeColor="text1"/>
          <w:sz w:val="24"/>
          <w:szCs w:val="24"/>
        </w:rPr>
        <w:t>Mgr. Jakub Machytka</w:t>
      </w:r>
      <w:r w:rsidR="00A106BF">
        <w:rPr>
          <w:rFonts w:asciiTheme="minorHAnsi" w:hAnsiTheme="minorHAnsi" w:cstheme="minorHAnsi"/>
          <w:bCs/>
          <w:color w:val="000000" w:themeColor="text1"/>
          <w:sz w:val="24"/>
          <w:szCs w:val="24"/>
        </w:rPr>
        <w:tab/>
      </w:r>
      <w:r w:rsidR="00A106BF">
        <w:rPr>
          <w:rFonts w:asciiTheme="minorHAnsi" w:hAnsiTheme="minorHAnsi" w:cstheme="minorHAnsi"/>
          <w:bCs/>
          <w:color w:val="000000" w:themeColor="text1"/>
          <w:sz w:val="24"/>
          <w:szCs w:val="24"/>
        </w:rPr>
        <w:tab/>
      </w:r>
      <w:r w:rsidRPr="00294413">
        <w:rPr>
          <w:rFonts w:asciiTheme="minorHAnsi" w:hAnsiTheme="minorHAnsi" w:cstheme="minorHAnsi"/>
          <w:bCs/>
          <w:color w:val="000000" w:themeColor="text1"/>
          <w:sz w:val="24"/>
          <w:szCs w:val="24"/>
        </w:rPr>
        <w:t xml:space="preserve">e-mail: </w:t>
      </w:r>
      <w:hyperlink r:id="rId11" w:history="1">
        <w:r w:rsidR="00A106BF" w:rsidRPr="000072DA">
          <w:rPr>
            <w:rStyle w:val="Hypertextovodkaz"/>
            <w:rFonts w:asciiTheme="minorHAnsi" w:hAnsiTheme="minorHAnsi" w:cstheme="minorHAnsi"/>
            <w:bCs/>
            <w:sz w:val="24"/>
            <w:szCs w:val="24"/>
          </w:rPr>
          <w:t>jakub.machytka@uzs.c</w:t>
        </w:r>
        <w:r w:rsidR="00A106BF" w:rsidRPr="000072DA">
          <w:rPr>
            <w:rStyle w:val="Hypertextovodkaz"/>
            <w:rFonts w:asciiTheme="minorHAnsi" w:hAnsiTheme="minorHAnsi" w:cstheme="minorHAnsi"/>
            <w:bCs/>
            <w:sz w:val="24"/>
            <w:szCs w:val="24"/>
          </w:rPr>
          <w:t>z</w:t>
        </w:r>
      </w:hyperlink>
      <w:r w:rsidR="00A106BF">
        <w:rPr>
          <w:rFonts w:asciiTheme="minorHAnsi" w:hAnsiTheme="minorHAnsi" w:cstheme="minorHAnsi"/>
          <w:bCs/>
          <w:color w:val="000000" w:themeColor="text1"/>
          <w:sz w:val="24"/>
          <w:szCs w:val="24"/>
        </w:rPr>
        <w:t xml:space="preserve">  </w:t>
      </w:r>
      <w:r w:rsidR="00A106BF">
        <w:rPr>
          <w:rFonts w:asciiTheme="minorHAnsi" w:hAnsiTheme="minorHAnsi" w:cstheme="minorHAnsi"/>
          <w:bCs/>
          <w:color w:val="000000" w:themeColor="text1"/>
          <w:sz w:val="24"/>
          <w:szCs w:val="24"/>
        </w:rPr>
        <w:tab/>
      </w:r>
      <w:r w:rsidRPr="00294413">
        <w:rPr>
          <w:rFonts w:asciiTheme="minorHAnsi" w:hAnsiTheme="minorHAnsi" w:cstheme="minorHAnsi"/>
          <w:bCs/>
          <w:color w:val="000000" w:themeColor="text1"/>
          <w:sz w:val="24"/>
          <w:szCs w:val="24"/>
        </w:rPr>
        <w:t>tel: 727 956</w:t>
      </w:r>
      <w:r>
        <w:rPr>
          <w:rFonts w:asciiTheme="minorHAnsi" w:hAnsiTheme="minorHAnsi" w:cstheme="minorHAnsi"/>
          <w:bCs/>
          <w:color w:val="000000" w:themeColor="text1"/>
          <w:sz w:val="24"/>
          <w:szCs w:val="24"/>
        </w:rPr>
        <w:t> </w:t>
      </w:r>
      <w:r w:rsidRPr="00294413">
        <w:rPr>
          <w:rFonts w:asciiTheme="minorHAnsi" w:hAnsiTheme="minorHAnsi" w:cstheme="minorHAnsi"/>
          <w:bCs/>
          <w:color w:val="000000" w:themeColor="text1"/>
          <w:sz w:val="24"/>
          <w:szCs w:val="24"/>
        </w:rPr>
        <w:t>059</w:t>
      </w:r>
    </w:p>
    <w:p w14:paraId="6AA718CE" w14:textId="0E99C56E" w:rsidR="00116A85" w:rsidRPr="00294413" w:rsidRDefault="00B17C0F" w:rsidP="00294413">
      <w:pPr>
        <w:jc w:val="both"/>
        <w:rPr>
          <w:rFonts w:asciiTheme="minorHAnsi" w:hAnsiTheme="minorHAnsi" w:cstheme="minorHAnsi"/>
          <w:sz w:val="24"/>
          <w:szCs w:val="24"/>
        </w:rPr>
      </w:pPr>
      <w:r w:rsidRPr="00294413">
        <w:rPr>
          <w:rFonts w:asciiTheme="minorHAnsi" w:hAnsiTheme="minorHAnsi" w:cstheme="minorHAnsi"/>
          <w:sz w:val="24"/>
          <w:szCs w:val="24"/>
        </w:rPr>
        <w:t>Dr.</w:t>
      </w:r>
      <w:r w:rsidR="00116A85" w:rsidRPr="00294413">
        <w:rPr>
          <w:rFonts w:asciiTheme="minorHAnsi" w:hAnsiTheme="minorHAnsi" w:cstheme="minorHAnsi"/>
          <w:sz w:val="24"/>
          <w:szCs w:val="24"/>
        </w:rPr>
        <w:t xml:space="preserve"> Jan Zikeš</w:t>
      </w:r>
      <w:r w:rsidR="00C02026" w:rsidRPr="00294413">
        <w:rPr>
          <w:rFonts w:asciiTheme="minorHAnsi" w:hAnsiTheme="minorHAnsi" w:cstheme="minorHAnsi"/>
          <w:sz w:val="24"/>
          <w:szCs w:val="24"/>
        </w:rPr>
        <w:tab/>
      </w:r>
      <w:r w:rsidR="00C02026" w:rsidRPr="00294413">
        <w:rPr>
          <w:rFonts w:asciiTheme="minorHAnsi" w:hAnsiTheme="minorHAnsi" w:cstheme="minorHAnsi"/>
          <w:sz w:val="24"/>
          <w:szCs w:val="24"/>
        </w:rPr>
        <w:tab/>
      </w:r>
      <w:r w:rsidR="007D6A55" w:rsidRPr="00294413">
        <w:rPr>
          <w:rFonts w:asciiTheme="minorHAnsi" w:hAnsiTheme="minorHAnsi" w:cstheme="minorHAnsi"/>
          <w:sz w:val="24"/>
          <w:szCs w:val="24"/>
        </w:rPr>
        <w:tab/>
      </w:r>
      <w:r w:rsidR="00116A85" w:rsidRPr="00294413">
        <w:rPr>
          <w:rFonts w:asciiTheme="minorHAnsi" w:hAnsiTheme="minorHAnsi" w:cstheme="minorHAnsi"/>
          <w:sz w:val="24"/>
          <w:szCs w:val="24"/>
        </w:rPr>
        <w:t>e</w:t>
      </w:r>
      <w:r w:rsidR="001932EA" w:rsidRPr="00294413">
        <w:rPr>
          <w:rFonts w:asciiTheme="minorHAnsi" w:hAnsiTheme="minorHAnsi" w:cstheme="minorHAnsi"/>
          <w:sz w:val="24"/>
          <w:szCs w:val="24"/>
        </w:rPr>
        <w:t>-</w:t>
      </w:r>
      <w:r w:rsidR="00116A85" w:rsidRPr="00294413">
        <w:rPr>
          <w:rFonts w:asciiTheme="minorHAnsi" w:hAnsiTheme="minorHAnsi" w:cstheme="minorHAnsi"/>
          <w:sz w:val="24"/>
          <w:szCs w:val="24"/>
        </w:rPr>
        <w:t>mail:</w:t>
      </w:r>
      <w:r w:rsidR="00B62EFD" w:rsidRPr="00294413">
        <w:rPr>
          <w:rFonts w:asciiTheme="minorHAnsi" w:hAnsiTheme="minorHAnsi" w:cstheme="minorHAnsi"/>
          <w:sz w:val="24"/>
          <w:szCs w:val="24"/>
        </w:rPr>
        <w:tab/>
      </w:r>
      <w:hyperlink r:id="rId12" w:history="1">
        <w:r w:rsidR="00116A85" w:rsidRPr="00294413">
          <w:rPr>
            <w:rStyle w:val="Hypertextovodkaz"/>
            <w:rFonts w:asciiTheme="minorHAnsi" w:hAnsiTheme="minorHAnsi" w:cstheme="minorHAnsi"/>
            <w:sz w:val="24"/>
            <w:szCs w:val="24"/>
          </w:rPr>
          <w:t>zikes@kzps.cz</w:t>
        </w:r>
      </w:hyperlink>
      <w:r w:rsidR="00C02026" w:rsidRPr="00294413">
        <w:rPr>
          <w:rFonts w:asciiTheme="minorHAnsi" w:hAnsiTheme="minorHAnsi" w:cstheme="minorHAnsi"/>
          <w:sz w:val="24"/>
          <w:szCs w:val="24"/>
        </w:rPr>
        <w:tab/>
      </w:r>
      <w:r w:rsidR="00C02026" w:rsidRPr="00294413">
        <w:rPr>
          <w:rFonts w:asciiTheme="minorHAnsi" w:hAnsiTheme="minorHAnsi" w:cstheme="minorHAnsi"/>
          <w:sz w:val="24"/>
          <w:szCs w:val="24"/>
        </w:rPr>
        <w:tab/>
      </w:r>
      <w:r w:rsidR="00680FD8" w:rsidRPr="00294413">
        <w:rPr>
          <w:rFonts w:asciiTheme="minorHAnsi" w:hAnsiTheme="minorHAnsi" w:cstheme="minorHAnsi"/>
          <w:sz w:val="24"/>
          <w:szCs w:val="24"/>
        </w:rPr>
        <w:tab/>
      </w:r>
      <w:r w:rsidR="00116A85" w:rsidRPr="00294413">
        <w:rPr>
          <w:rFonts w:asciiTheme="minorHAnsi" w:hAnsiTheme="minorHAnsi" w:cstheme="minorHAnsi"/>
          <w:sz w:val="24"/>
          <w:szCs w:val="24"/>
        </w:rPr>
        <w:t>tel:</w:t>
      </w:r>
      <w:r w:rsidR="00D442C1" w:rsidRPr="00294413">
        <w:rPr>
          <w:rFonts w:asciiTheme="minorHAnsi" w:hAnsiTheme="minorHAnsi" w:cstheme="minorHAnsi"/>
          <w:sz w:val="24"/>
          <w:szCs w:val="24"/>
        </w:rPr>
        <w:tab/>
      </w:r>
      <w:r w:rsidR="00C02026" w:rsidRPr="00294413">
        <w:rPr>
          <w:rFonts w:asciiTheme="minorHAnsi" w:hAnsiTheme="minorHAnsi" w:cstheme="minorHAnsi"/>
          <w:sz w:val="24"/>
          <w:szCs w:val="24"/>
        </w:rPr>
        <w:t>222 324</w:t>
      </w:r>
      <w:r w:rsidR="00B411A7" w:rsidRPr="00294413">
        <w:rPr>
          <w:rFonts w:asciiTheme="minorHAnsi" w:hAnsiTheme="minorHAnsi" w:cstheme="minorHAnsi"/>
          <w:sz w:val="24"/>
          <w:szCs w:val="24"/>
        </w:rPr>
        <w:t> </w:t>
      </w:r>
      <w:r w:rsidR="00C02026" w:rsidRPr="00294413">
        <w:rPr>
          <w:rFonts w:asciiTheme="minorHAnsi" w:hAnsiTheme="minorHAnsi" w:cstheme="minorHAnsi"/>
          <w:sz w:val="24"/>
          <w:szCs w:val="24"/>
        </w:rPr>
        <w:t>985</w:t>
      </w:r>
    </w:p>
    <w:p w14:paraId="23122064" w14:textId="45402924" w:rsidR="002234F6" w:rsidRPr="00294413" w:rsidRDefault="002234F6" w:rsidP="00294413">
      <w:pPr>
        <w:jc w:val="both"/>
        <w:rPr>
          <w:rFonts w:asciiTheme="minorHAnsi" w:hAnsiTheme="minorHAnsi" w:cstheme="minorHAnsi"/>
          <w:sz w:val="24"/>
          <w:szCs w:val="24"/>
        </w:rPr>
      </w:pPr>
    </w:p>
    <w:p w14:paraId="1ED1D75F" w14:textId="77777777" w:rsidR="00185976" w:rsidRPr="00962B4C" w:rsidRDefault="00185976" w:rsidP="00C90CFF">
      <w:pPr>
        <w:jc w:val="both"/>
        <w:rPr>
          <w:rFonts w:asciiTheme="minorHAnsi" w:hAnsiTheme="minorHAnsi" w:cstheme="minorHAnsi"/>
          <w:sz w:val="24"/>
          <w:szCs w:val="24"/>
        </w:rPr>
      </w:pPr>
    </w:p>
    <w:p w14:paraId="66FB6E07" w14:textId="2FF258E6" w:rsidR="00FD1397" w:rsidRPr="00A106BF" w:rsidRDefault="009A436D" w:rsidP="00CA3EA4">
      <w:pPr>
        <w:jc w:val="both"/>
        <w:rPr>
          <w:rFonts w:asciiTheme="minorHAnsi" w:hAnsiTheme="minorHAnsi" w:cstheme="minorHAnsi"/>
          <w:sz w:val="24"/>
          <w:szCs w:val="24"/>
        </w:rPr>
      </w:pPr>
      <w:r w:rsidRPr="00A106BF">
        <w:rPr>
          <w:rFonts w:asciiTheme="minorHAnsi" w:hAnsiTheme="minorHAnsi" w:cstheme="minorHAnsi"/>
          <w:sz w:val="24"/>
          <w:szCs w:val="24"/>
        </w:rPr>
        <w:t>V Praze dne</w:t>
      </w:r>
      <w:r w:rsidR="00E140D6" w:rsidRPr="00A106BF">
        <w:rPr>
          <w:rFonts w:asciiTheme="minorHAnsi" w:hAnsiTheme="minorHAnsi" w:cstheme="minorHAnsi"/>
          <w:sz w:val="24"/>
          <w:szCs w:val="24"/>
        </w:rPr>
        <w:t xml:space="preserve"> </w:t>
      </w:r>
      <w:r w:rsidR="00A106BF" w:rsidRPr="00A106BF">
        <w:rPr>
          <w:rFonts w:asciiTheme="minorHAnsi" w:hAnsiTheme="minorHAnsi" w:cstheme="minorHAnsi"/>
          <w:sz w:val="24"/>
          <w:szCs w:val="24"/>
        </w:rPr>
        <w:t>30</w:t>
      </w:r>
      <w:r w:rsidR="00D21B8B" w:rsidRPr="00A106BF">
        <w:rPr>
          <w:rFonts w:asciiTheme="minorHAnsi" w:hAnsiTheme="minorHAnsi" w:cstheme="minorHAnsi"/>
          <w:sz w:val="24"/>
          <w:szCs w:val="24"/>
        </w:rPr>
        <w:t xml:space="preserve">. </w:t>
      </w:r>
      <w:r w:rsidR="00AD17DE" w:rsidRPr="00A106BF">
        <w:rPr>
          <w:rFonts w:asciiTheme="minorHAnsi" w:hAnsiTheme="minorHAnsi" w:cstheme="minorHAnsi"/>
          <w:sz w:val="24"/>
          <w:szCs w:val="24"/>
        </w:rPr>
        <w:t>listopadu</w:t>
      </w:r>
      <w:r w:rsidR="00F6330A" w:rsidRPr="00A106BF">
        <w:rPr>
          <w:rFonts w:asciiTheme="minorHAnsi" w:hAnsiTheme="minorHAnsi" w:cstheme="minorHAnsi"/>
          <w:sz w:val="24"/>
          <w:szCs w:val="24"/>
        </w:rPr>
        <w:t xml:space="preserve"> 2</w:t>
      </w:r>
      <w:r w:rsidR="00D21B8B" w:rsidRPr="00A106BF">
        <w:rPr>
          <w:rFonts w:asciiTheme="minorHAnsi" w:hAnsiTheme="minorHAnsi" w:cstheme="minorHAnsi"/>
          <w:sz w:val="24"/>
          <w:szCs w:val="24"/>
        </w:rPr>
        <w:t>022</w:t>
      </w:r>
    </w:p>
    <w:p w14:paraId="3BD941C4" w14:textId="77777777" w:rsidR="00D21B8B" w:rsidRPr="00962B4C" w:rsidRDefault="00D21B8B" w:rsidP="00CA3EA4">
      <w:pPr>
        <w:jc w:val="both"/>
        <w:rPr>
          <w:rFonts w:asciiTheme="minorHAnsi" w:hAnsiTheme="minorHAnsi" w:cstheme="minorHAnsi"/>
          <w:sz w:val="24"/>
          <w:szCs w:val="24"/>
        </w:rPr>
      </w:pPr>
    </w:p>
    <w:p w14:paraId="6EFC8453" w14:textId="151BBC12" w:rsidR="00B411A7" w:rsidRPr="00962B4C" w:rsidRDefault="00B411A7" w:rsidP="00CA3EA4">
      <w:pPr>
        <w:rPr>
          <w:rFonts w:asciiTheme="minorHAnsi" w:hAnsiTheme="minorHAnsi" w:cstheme="minorHAnsi"/>
          <w:sz w:val="24"/>
          <w:szCs w:val="24"/>
        </w:rPr>
      </w:pPr>
    </w:p>
    <w:p w14:paraId="4062DD4B" w14:textId="77777777" w:rsidR="00994DDC" w:rsidRPr="00962B4C" w:rsidRDefault="00994DDC" w:rsidP="00CA3EA4">
      <w:pPr>
        <w:rPr>
          <w:rFonts w:asciiTheme="minorHAnsi" w:hAnsiTheme="minorHAnsi" w:cstheme="minorHAnsi"/>
          <w:sz w:val="24"/>
          <w:szCs w:val="24"/>
        </w:rPr>
      </w:pPr>
    </w:p>
    <w:p w14:paraId="56B8F675" w14:textId="686D61F4" w:rsidR="006266A6" w:rsidRPr="009E4828" w:rsidRDefault="00BF1917" w:rsidP="00CA3EA4">
      <w:pPr>
        <w:rPr>
          <w:rFonts w:asciiTheme="minorHAnsi" w:hAnsiTheme="minorHAnsi" w:cstheme="minorHAnsi"/>
          <w:b/>
          <w:sz w:val="24"/>
          <w:szCs w:val="24"/>
        </w:rPr>
      </w:pPr>
      <w:r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r>
      <w:r w:rsidR="002A28AB" w:rsidRPr="009E4828">
        <w:rPr>
          <w:rFonts w:asciiTheme="minorHAnsi" w:hAnsiTheme="minorHAnsi" w:cstheme="minorHAnsi"/>
          <w:b/>
          <w:sz w:val="24"/>
          <w:szCs w:val="24"/>
        </w:rPr>
        <w:t xml:space="preserve">        </w:t>
      </w:r>
      <w:r w:rsidR="00F645E4" w:rsidRPr="009E4828">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3F31" w14:textId="77777777" w:rsidR="00A91465" w:rsidRDefault="00A91465">
      <w:r>
        <w:separator/>
      </w:r>
    </w:p>
    <w:p w14:paraId="1EEA2A4C" w14:textId="77777777" w:rsidR="00A91465" w:rsidRDefault="00A91465"/>
  </w:endnote>
  <w:endnote w:type="continuationSeparator" w:id="0">
    <w:p w14:paraId="04B5600C" w14:textId="77777777" w:rsidR="00A91465" w:rsidRDefault="00A91465">
      <w:r>
        <w:continuationSeparator/>
      </w:r>
    </w:p>
    <w:p w14:paraId="3D324D67" w14:textId="77777777" w:rsidR="00A91465" w:rsidRDefault="00A91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4DF46" w14:textId="77777777" w:rsidR="00A91465" w:rsidRDefault="00A91465">
      <w:r>
        <w:separator/>
      </w:r>
    </w:p>
    <w:p w14:paraId="48363F98" w14:textId="77777777" w:rsidR="00A91465" w:rsidRDefault="00A91465"/>
  </w:footnote>
  <w:footnote w:type="continuationSeparator" w:id="0">
    <w:p w14:paraId="01B61CFA" w14:textId="77777777" w:rsidR="00A91465" w:rsidRDefault="00A91465">
      <w:r>
        <w:continuationSeparator/>
      </w:r>
    </w:p>
    <w:p w14:paraId="42825EC3" w14:textId="77777777" w:rsidR="00A91465" w:rsidRDefault="00A91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5"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976829350">
    <w:abstractNumId w:val="14"/>
  </w:num>
  <w:num w:numId="2" w16cid:durableId="814569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6347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1276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3479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8949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4241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4196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9284957">
    <w:abstractNumId w:val="16"/>
  </w:num>
  <w:num w:numId="10" w16cid:durableId="4995426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6652534">
    <w:abstractNumId w:val="8"/>
  </w:num>
  <w:num w:numId="12" w16cid:durableId="12831465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32323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91289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308144">
    <w:abstractNumId w:val="11"/>
  </w:num>
  <w:num w:numId="16" w16cid:durableId="1889494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04E"/>
    <w:rsid w:val="000F0D0C"/>
    <w:rsid w:val="000F41EE"/>
    <w:rsid w:val="000F57D3"/>
    <w:rsid w:val="000F5A2C"/>
    <w:rsid w:val="000F7E01"/>
    <w:rsid w:val="00103B71"/>
    <w:rsid w:val="00104230"/>
    <w:rsid w:val="001111BD"/>
    <w:rsid w:val="00114A03"/>
    <w:rsid w:val="00116A85"/>
    <w:rsid w:val="00116FEC"/>
    <w:rsid w:val="00121AA2"/>
    <w:rsid w:val="00122E29"/>
    <w:rsid w:val="00123E03"/>
    <w:rsid w:val="00124FA4"/>
    <w:rsid w:val="001378DB"/>
    <w:rsid w:val="00143656"/>
    <w:rsid w:val="00153A9A"/>
    <w:rsid w:val="001551F1"/>
    <w:rsid w:val="00155A10"/>
    <w:rsid w:val="00157AC8"/>
    <w:rsid w:val="00161450"/>
    <w:rsid w:val="00173CFC"/>
    <w:rsid w:val="00173E77"/>
    <w:rsid w:val="00182439"/>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33FB"/>
    <w:rsid w:val="0029441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13E7"/>
    <w:rsid w:val="003571E7"/>
    <w:rsid w:val="00362461"/>
    <w:rsid w:val="00365E6A"/>
    <w:rsid w:val="00367482"/>
    <w:rsid w:val="00380863"/>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67393"/>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011E"/>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4F43"/>
    <w:rsid w:val="00735439"/>
    <w:rsid w:val="00740649"/>
    <w:rsid w:val="00742421"/>
    <w:rsid w:val="00746159"/>
    <w:rsid w:val="00754FBB"/>
    <w:rsid w:val="00757C32"/>
    <w:rsid w:val="00761CDE"/>
    <w:rsid w:val="00764AC2"/>
    <w:rsid w:val="007674C9"/>
    <w:rsid w:val="00774BAB"/>
    <w:rsid w:val="00780AD3"/>
    <w:rsid w:val="00781673"/>
    <w:rsid w:val="0078299E"/>
    <w:rsid w:val="00790BC9"/>
    <w:rsid w:val="0079472A"/>
    <w:rsid w:val="007A2819"/>
    <w:rsid w:val="007B33ED"/>
    <w:rsid w:val="007B4FCA"/>
    <w:rsid w:val="007B5311"/>
    <w:rsid w:val="007C1174"/>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2B4C"/>
    <w:rsid w:val="00965458"/>
    <w:rsid w:val="00970E2B"/>
    <w:rsid w:val="00974F6E"/>
    <w:rsid w:val="009779E6"/>
    <w:rsid w:val="00981CD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06BF"/>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1465"/>
    <w:rsid w:val="00A92923"/>
    <w:rsid w:val="00A95D68"/>
    <w:rsid w:val="00A9703B"/>
    <w:rsid w:val="00AA0574"/>
    <w:rsid w:val="00AA6FF1"/>
    <w:rsid w:val="00AB2E81"/>
    <w:rsid w:val="00AC0ED2"/>
    <w:rsid w:val="00AC293D"/>
    <w:rsid w:val="00AD17DE"/>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D7B28"/>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27DED"/>
    <w:rsid w:val="00C34F97"/>
    <w:rsid w:val="00C50846"/>
    <w:rsid w:val="00C612DA"/>
    <w:rsid w:val="00C64821"/>
    <w:rsid w:val="00C67F1D"/>
    <w:rsid w:val="00C75878"/>
    <w:rsid w:val="00C806D8"/>
    <w:rsid w:val="00C81B71"/>
    <w:rsid w:val="00C833FB"/>
    <w:rsid w:val="00C90CFF"/>
    <w:rsid w:val="00C969CF"/>
    <w:rsid w:val="00C97B14"/>
    <w:rsid w:val="00CA21E0"/>
    <w:rsid w:val="00CA3EA4"/>
    <w:rsid w:val="00CB444F"/>
    <w:rsid w:val="00CC6080"/>
    <w:rsid w:val="00CD5A5C"/>
    <w:rsid w:val="00CD62A2"/>
    <w:rsid w:val="00CE2AB1"/>
    <w:rsid w:val="00CE300F"/>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A5575"/>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31F1"/>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330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customStyle="1" w:styleId="NADPISSTI">
    <w:name w:val="NADPIS ČÁSTI"/>
    <w:basedOn w:val="Normln"/>
    <w:next w:val="Normln"/>
    <w:rsid w:val="00962B4C"/>
    <w:pPr>
      <w:keepNext/>
      <w:keepLines/>
      <w:spacing w:before="120"/>
      <w:ind w:firstLine="142"/>
      <w:jc w:val="center"/>
      <w:outlineLvl w:val="1"/>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698164041">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kub.machytka@uzs.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1033</Words>
  <Characters>6098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7117</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46</cp:revision>
  <cp:lastPrinted>2016-10-12T10:41:00Z</cp:lastPrinted>
  <dcterms:created xsi:type="dcterms:W3CDTF">2020-07-21T13:09:00Z</dcterms:created>
  <dcterms:modified xsi:type="dcterms:W3CDTF">2022-11-30T18:47:00Z</dcterms:modified>
</cp:coreProperties>
</file>