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76EA29ED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2B6DFF" w:rsidRPr="002B6DFF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2B6DF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2B6DFF" w:rsidRPr="002B6DFF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186/2016 Sb., o hazardních hrách,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876E06" w:rsidRDefault="00DD03DC" w:rsidP="00876E0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876E06">
        <w:rPr>
          <w:rFonts w:asciiTheme="minorHAnsi" w:hAnsiTheme="minorHAnsi" w:cstheme="minorHAnsi"/>
          <w:sz w:val="24"/>
          <w:szCs w:val="24"/>
        </w:rPr>
        <w:t>doporu</w:t>
      </w:r>
      <w:r w:rsidR="00C50846" w:rsidRPr="00876E0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876E0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876E06" w:rsidRDefault="00320994" w:rsidP="00876E0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C457686" w14:textId="32551E6D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Konkrétní připomínky</w:t>
      </w:r>
    </w:p>
    <w:p w14:paraId="0FE0F6EE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1. § 16a Zápis a výmaz z rejstříku z moci úřední</w:t>
      </w:r>
    </w:p>
    <w:p w14:paraId="446DD2DD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v § 16a odstavec 1) doplnění písm. h), které z moci úřední nakáže zapsat do registru fyzickou osobu, která čelí exekučnímu řízení.</w:t>
      </w:r>
    </w:p>
    <w:p w14:paraId="443F5049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4BF7DEDB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 xml:space="preserve">Zařazení osob v exekucích se diskutuje dlouho. Dříve se argumentovalo tím, že by to byl „technický problém“. Pokud však musí vést exekutorská komora Centrální evidenci exekucí, podle § 33-34 exekučního řádu existuje zákonná součinnost třetích osob, podle vyhlášky č. 329/2008 Sb. o centrální evidenci exekucí, je možné do evidence nahlížet, nemůže být větší problém spárovat systémy tak, aby z evidence hlásily do rejstříku. Stejně tak nemůže být technicky problém řešit i evidenci osob v exekucích u orgánů státní správy nebo samosprávy. Je možné, že bude kvůli tomuto nutné upravit některé zákony, to ale nemůže být zásadní problém, který by nebylo možné legislativně i technicky poměrně snadno řešit. </w:t>
      </w:r>
    </w:p>
    <w:p w14:paraId="7F2D4555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06C9BC8D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2. § 16b Zápis a výmaz z rejstříku na žádost, odst. 4, písm. a) var. 2.:</w:t>
      </w:r>
    </w:p>
    <w:p w14:paraId="04532BA4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sz w:val="24"/>
          <w:szCs w:val="24"/>
          <w:lang w:eastAsia="en-US"/>
        </w:rPr>
        <w:t>Požadujeme upřesnění, kdo je “pověřený zaměstnanec státu zařazený v ministerstvu” a kolik takových je? Možnost zapsat se do rejstříku musí být co nejdostupnější. Je to každý úředník Finanční správy, Celní správy a dalších složek MF? Důvodová zpráva vysvětlení neobsahuje.</w:t>
      </w:r>
    </w:p>
    <w:p w14:paraId="05BDF1D2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sz w:val="24"/>
          <w:szCs w:val="24"/>
          <w:lang w:eastAsia="en-US"/>
        </w:rPr>
        <w:t>Požadujeme proto, aby bylo ustanovení upraveno ve výše uvedeném smyslu, kdy bude garantována plošná dostupnost tohoto úkonu minimálně na úrovni územních pracovišť Finanční správy (ne nutně tímto úřadem, ale v této četnosti).</w:t>
      </w:r>
    </w:p>
    <w:p w14:paraId="62F2C474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doporučující </w:t>
      </w:r>
    </w:p>
    <w:p w14:paraId="166774B4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9F4D9B6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3. </w:t>
      </w:r>
      <w:r w:rsidRPr="00876E06">
        <w:rPr>
          <w:rFonts w:asciiTheme="minorHAnsi" w:hAnsiTheme="minorHAnsi" w:cstheme="minorHAnsi"/>
          <w:sz w:val="24"/>
          <w:szCs w:val="24"/>
          <w:lang w:eastAsia="en-US"/>
        </w:rPr>
        <w:t>§ 16b Zápis a výmaz z rejstříku na žádost, odst. 4, písm. a) var. 3.:</w:t>
      </w:r>
    </w:p>
    <w:p w14:paraId="6150D70F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Požadujeme vypustit část věty “podepsanou způsobem, se kterým jiný právní předpis spojuje účinky vlastnoručního podpisu”.</w:t>
      </w:r>
    </w:p>
    <w:p w14:paraId="75574046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2F49B7DD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Ustanovení § 18 zákona č. 300/2008 Sb., o elektronických úkonech a autorizované konverzi dokumentů stanoví, že úkon učiněný prostřednictvím datové schránky má stejné účinky jako úkon učiněný písemně a podepsaný. Již samotné zřízení datové schránky představuje jednoznačné vymezení subjektu, proto naplňuje definici elektronického podpisu podle občanského zákoníku. Není proto potřeba dále ustanovení rozvádět, protože již samotné zaslání vyplněného formuláře dle § 16d návrhu novely zákona prostřednictvím datové schránky fyzické osoby je na úrovni vlastnoručního podpisu. Žádost takto podaná tedy dostatečně ztotožňuje žadatele, používá se k oficiální komunikaci s veřejným sektorem a není potřeba dále zpřísňovat. Celý proces žádosti musí být co nejjednodušší.</w:t>
      </w:r>
    </w:p>
    <w:p w14:paraId="3A1F6BA2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doporučující </w:t>
      </w:r>
    </w:p>
    <w:p w14:paraId="6270F13A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4. § 16b Zápis a výmaz z rejstříku na žádost, odst. 4, písm. a) var. 4.:</w:t>
      </w:r>
    </w:p>
    <w:p w14:paraId="21E333EF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vypustit část věty “pokud je k tomu ministerstvo technicky vybaveno a uveřejní tuto skutečnost na svých internetových stránkách”</w:t>
      </w:r>
    </w:p>
    <w:p w14:paraId="244C26F3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187F0AED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Zákon musí být v tomto jasný a neobsahovat zjednodušeně řečeno spekulace, jestli je schopno MF v dohledné době moderně komunikovat. Pakliže je tato možnost podání žádosti navrhována a legislativa umožňuje tuto komunikaci s úřady, k datu účinnosti zákona musí MF garantovat “technickou připravenost”.</w:t>
      </w:r>
    </w:p>
    <w:p w14:paraId="5CD2E6FC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21F436ED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4. § 16b Zápis a výmaz z rejstříku na žádost, odst. 4, písm. a) var. 4.:</w:t>
      </w:r>
    </w:p>
    <w:p w14:paraId="30EBF2B9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vypustit část věty “pokud je k tomu ministerstvo technicky vybaveno a uveřejní tuto skutečnost na svých internetových stránkách”</w:t>
      </w:r>
    </w:p>
    <w:p w14:paraId="66CB67C4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2458ABC3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Zákon musí být v tomto jasný a neobsahovat zjednodušeně řečeno spekulace, jestli je schopno MF v dohledné době moderně komunikovat. Pakliže je tato možnost podání žádosti navrhována a legislativa umožňuje tuto komunikaci s úřady, k datu účinnosti zákona musí MF garantovat “technickou připravenost”.</w:t>
      </w:r>
    </w:p>
    <w:p w14:paraId="78C21E58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4A131340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4. § 16b Zápis a výmaz z rejstříku na žádost, odst. 4, písm. a) var. 4.:</w:t>
      </w:r>
    </w:p>
    <w:p w14:paraId="58D64CB3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vypustit část věty “pokud je k tomu ministerstvo technicky vybaveno a uveřejní tuto skutečnost na svých internetových stránkách”</w:t>
      </w:r>
    </w:p>
    <w:p w14:paraId="3CBCE5D9" w14:textId="77777777" w:rsid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</w:p>
    <w:p w14:paraId="30494FB0" w14:textId="145FDD63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lastRenderedPageBreak/>
        <w:t>Odůvodnění:</w:t>
      </w:r>
    </w:p>
    <w:p w14:paraId="0782D28E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Zákon musí být v tomto jasný a neobsahovat zjednodušeně řečeno spekulace, jestli je schopno MF v dohledné době moderně komunikovat. Pakliže je tato možnost podání žádosti navrhována a legislativa umožňuje tuto komunikaci s úřady, k datu účinnosti zákona musí MF garantovat “technickou připravenost”.</w:t>
      </w:r>
    </w:p>
    <w:p w14:paraId="40D44D3B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2BA39A64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 § 16ba Prodloužení nebo obnovení ochranné lhůty na žádost, odst. 4, písm. a) var. </w:t>
      </w:r>
      <w:proofErr w:type="gram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2 - 4</w:t>
      </w:r>
      <w:proofErr w:type="gramEnd"/>
    </w:p>
    <w:p w14:paraId="3E66AC85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Viz body 1. - 3. připomínek</w:t>
      </w:r>
    </w:p>
    <w:p w14:paraId="03F53B05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71E5D3FA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6. § 16bb, Prostředek pro zamezení účasti na hazardní hře</w:t>
      </w:r>
    </w:p>
    <w:p w14:paraId="1902219F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 xml:space="preserve">V souladu se Závěrečnou zprávou z hodnocení dopadů regulace k Návrhu zákona, B. Opatření na ochranu sázejících, c. Panic </w:t>
      </w:r>
      <w:proofErr w:type="spellStart"/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button</w:t>
      </w:r>
      <w:proofErr w:type="spellEnd"/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, požadujeme, aby aktivace “červeného tlačítka” automaticky platila i jakéhokoliv jiného provozovatele.</w:t>
      </w:r>
    </w:p>
    <w:p w14:paraId="01D097B9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3A594835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Předložený návrh novely zákona toto zásadní opatření opomíjí a je potřeba to zapracovat.</w:t>
      </w:r>
    </w:p>
    <w:p w14:paraId="0E33F559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7A580483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7. § 16c Poskytování údajů z rejstříku, odst. 3., písm. a) var. 2. - 4.Viz body 1. - 3. připomínek</w:t>
      </w:r>
    </w:p>
    <w:p w14:paraId="1DB203BD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Viz body 1. - 3. připomínek</w:t>
      </w:r>
    </w:p>
    <w:p w14:paraId="51461DBC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9EF985B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8. § 17h, Výplata peněžních prostředků z uživatelského konta, odst. 2</w:t>
      </w:r>
    </w:p>
    <w:p w14:paraId="47B4937B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dobu 60 dnů zkrátit na 2 dny</w:t>
      </w:r>
    </w:p>
    <w:p w14:paraId="758AA6E7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6331E839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Uvedené “omluvitelné důvody” jsou dle důvodové zprávy takřka výhradně technického rázu a bankovní odstávka nebo výpadek internetu je věcí řádové hodin, nikoliv měsíců. Pokud nelze platbu začít realizovat ihned, jak popisuje důvodová zpráva k předchozímu odstavci, lze ji jistě začít realizovat v následujících hodinách, max. navrhovaných dvou dnech. </w:t>
      </w:r>
    </w:p>
    <w:p w14:paraId="0CA6B9BD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33031C4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Další uvedený </w:t>
      </w:r>
      <w:proofErr w:type="gram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důvod - nedostatek</w:t>
      </w:r>
      <w:proofErr w:type="gram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hotovosti v pokladně - nemůže také trvat vyřešit déle než 2 dny, i pokud by bylo nezbytné s hotovostí dojet z jiné části republiky. Uvedený případ se navíc týká spíše druhů hazardní hry, kterou provozují vysoce finančně zajištěné právnické osoby a k tomu, aby neměly disponibilní prostředky, těžko může dojít. A pokud ano, je to důvodem k řešení jejího přestupku, nikoliv omluvou pro dvouměsíční platební neschopnost.</w:t>
      </w:r>
    </w:p>
    <w:p w14:paraId="1AF22F8E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8171E18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Navrhovaná úprava by umožňovala realizaci širokého spektra výmluv a například při rozhodnutí hráče po vysoké výhře již nehrát by mnohatýdenní odklad výplaty výhry mohl vést k dalšímu rizikovému hraní. Tomuto je třeba naopak předcházet.</w:t>
      </w:r>
    </w:p>
    <w:p w14:paraId="09EA71D0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021CEC0B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9. § 52 Nejvyšší sázka a nejvyšší výhra, odst. 1</w:t>
      </w:r>
    </w:p>
    <w:p w14:paraId="2A980D4E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ponechání původních sazeb</w:t>
      </w:r>
    </w:p>
    <w:p w14:paraId="264342BB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7D63BECC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Navrhovaná změna nestojí na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adiktologických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poznatcích. Naopak je dobré, že s inflačním vývojem klesá přitažlivost hry. Zákon nemá podporovat rizikové hráčství, což by tato změna znamenala.</w:t>
      </w:r>
    </w:p>
    <w:p w14:paraId="769B8128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Podpůrná argumentace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kvasikasiny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 z našeho pohledu zavádějící. Návrh novely zákona dostatečně zpřísňuje podmínky pro provozování kasina, legislativa má jít tímto směrem, vyšší sázka a výhra v herně není předcházením jejich vzniku </w:t>
      </w:r>
    </w:p>
    <w:p w14:paraId="46B6CED9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6E2A2349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10. § 52 Nejvyšší sázka a nejvyšší výhra, odst. 1</w:t>
      </w:r>
    </w:p>
    <w:p w14:paraId="61989A28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upravit sázky a výhry u technické hry na internetu na roveň sumám v hernách.</w:t>
      </w:r>
    </w:p>
    <w:p w14:paraId="365EED70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72C7B3A8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hlediska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adiktologického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byly limity pro technickou hru na internetu na úrovni kasin hlavní chybou původního zákona. Klientela hrající na internetu je socioekonomicky blízká té, která hraje v hernách. Je odlišná od typického návštěvníka kasin. Obrovská dostupnost internetu, jak plyne i ze všech průběžně aktualizovaných dat, znamená, že se hráči stále častěji věnují hazardní hře prostřednictvím internetu. Tento trend je vidět již před 10 let a stále pokračuje. Aktuální prostředí internetového hraní je nebezpečné a do budoucna je jisté, že hráči ve vyšších stupních rizikového hraní budou tvořeni takřka výhradně z hráčů internetové hry. Tomu pomáhá i právě nastavení vysokých sázek a možných výher, které jen dále podněcují rizikové hraní. </w:t>
      </w:r>
    </w:p>
    <w:p w14:paraId="7244294B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Aby bylo možné dostat hráčství v Česku udržitelně pod kontrolu, nesmí být tento do budoucna dominantní segment už ze své podstaty vysoce nebezpečný a nesmí umožňovat prohry velkých peněz. Autoregulační opatření v tomto </w:t>
      </w:r>
      <w:proofErr w:type="gram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nestačí</w:t>
      </w:r>
      <w:proofErr w:type="gram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je nutné mít bezpečné nastavení už v základu. </w:t>
      </w:r>
    </w:p>
    <w:p w14:paraId="3BF1066D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Trend přesunu na internet není závislý na tom, jak vysoké budou sázky a možné výhry, bude dít bez ohledu na to v souvislosti s obecnou digitalizací společnosti a přesunem značné části života a trávení dne do virtuálního prostoru. Stát musí garantovat bazální bezpečnost tohoto prostoru, což v současné době není dostatečné.</w:t>
      </w:r>
    </w:p>
    <w:p w14:paraId="289057E5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Jak uvádí i Závěrečná zpráva z hodnocení dopadů regulace k Návrhu zákona: </w:t>
      </w:r>
    </w:p>
    <w:p w14:paraId="4488ACEE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“</w:t>
      </w:r>
      <w:r w:rsidRPr="00876E06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Z provedené ex post RIA vyplynuly následující závěry:</w:t>
      </w:r>
    </w:p>
    <w:p w14:paraId="4A5EFDE7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lastRenderedPageBreak/>
        <w:t>-</w:t>
      </w:r>
      <w:r w:rsidRPr="00876E06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ab/>
        <w:t xml:space="preserve">Nezbytnost reakce na zvýšenou rizikovost hazardních her provozovaných na internetu. S ohledem na výsledky provedené analýzy </w:t>
      </w:r>
      <w:proofErr w:type="gramStart"/>
      <w:r w:rsidRPr="00876E06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ASTERIG  se</w:t>
      </w:r>
      <w:proofErr w:type="gramEnd"/>
      <w:r w:rsidRPr="00876E06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jeví jako vhodné, aby právní úprava reagovala na zvýšenou rizikovost spojenou s hazardními hrami provozovanými jako internetové hry přijetím nových či úpravou stávajících opatření zodpovědného hraní. V případě technických her je rizikovost u obou způsobů provozování obdobná, avšak v případě všech ostatních druhů hazardních her se významně zvyšuje rizikovost právě při provozování prostřednictvím internetu, což je dáno zejména rychlostí hry a možností nepřerušené účasti.</w:t>
      </w: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”</w:t>
      </w:r>
    </w:p>
    <w:p w14:paraId="393F5FC9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Adekvátní nastavení limitů je základním parametrem pro naplnění této nezbytnosti.</w:t>
      </w:r>
    </w:p>
    <w:p w14:paraId="4F4A65D4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 ohledem na principy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harm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reduction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proto požadujeme, aby internetová technická hra měla limity ve stejné výši, jako je výše u technické hry v herně.</w:t>
      </w:r>
    </w:p>
    <w:p w14:paraId="74315E9D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Možné řešení úpravy zákona: odst. 1 bude za slovy “v herně” pokračovat “a technické hry provozované jako internetová hra” a odst. 3 bude zrušen.</w:t>
      </w:r>
    </w:p>
    <w:p w14:paraId="25079CC1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30156B5C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11. § 68 Kasino</w:t>
      </w:r>
    </w:p>
    <w:p w14:paraId="40C47AB2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 xml:space="preserve">Požadujeme doplnit odstavec “kasino nesmí být v provozu v době od 3:00 do 10:00 hodin.” </w:t>
      </w:r>
    </w:p>
    <w:p w14:paraId="4CA3C313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417F8386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Nonstop hraní je jedním z hlavních zdrojů problémů v rámci vzniku patologického hraní. Lze případně uvažovat nad tím, že je výjimka pro karetní turnaj, pokud by se hra protáhla do pozdních hodin. Pak by bylo v prostoru kasina zakázáno provozovat od 3:00 do 10:00 hodin ostatní hry.</w:t>
      </w:r>
    </w:p>
    <w:p w14:paraId="53E57A6E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2596A421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12. § 70 Provozní den kasina, odst. 1, písm. b)</w:t>
      </w:r>
    </w:p>
    <w:p w14:paraId="1F235B7C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V návaznosti na připomínku č. 10 navrhuje upravit formulaci “jiným vhodným způsobem v délce nepřesahující 24 hodin, v případě nepřetržitého provozu”, neboť nonstop provoz by nebyl umožněn.</w:t>
      </w:r>
    </w:p>
    <w:p w14:paraId="2A796131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doporučující </w:t>
      </w:r>
    </w:p>
    <w:p w14:paraId="0D9250AC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13. ke zrušení navrhovaný stávající § 78 Registrovaný platební účet a platební karta</w:t>
      </w:r>
    </w:p>
    <w:p w14:paraId="412D8EFB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ponechání paragrafu</w:t>
      </w:r>
    </w:p>
    <w:p w14:paraId="0BD30B61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3A6833B3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 důvodové zprávě odkazovaný § 11., odst. 7, písm. e) AML se pro provozovatele hazardu vůbec neuplatňuje, protože odst. 7 je pro osoby „s výjimkou povinné osoby podle § 2 odst. 1 písm. c)“, což jsou dle tohoto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ustanovaní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právě provozovatelé hazardu. Vypuštěním tohoto § by tak mohlo dojít ke ztrátě povinnost doložit existenci vlastního účtu, což je přitom naopak jednoznačně žádoucí. </w:t>
      </w:r>
    </w:p>
    <w:p w14:paraId="4A941AFD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Dále podle § 2 odst. 1 písm. c) není povinnou osobou dle Zákona o některých opatřeních proti legalizaci výnosů z trestné činnosti a financování terorismu provozovatel loterie, která se má ale dle navrhovatele novely významně rozšiřovat. </w:t>
      </w:r>
    </w:p>
    <w:p w14:paraId="2EDC4842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Uvedený §, který požaduje u registrace doložení vlastního registrovaného účtu je zásadním prostředkem pro prevenci rizikového hraní, přičemž chrání ponejvíce rizikové nízkopříjmové sociální skupiny.</w:t>
      </w:r>
    </w:p>
    <w:p w14:paraId="53CCD87A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7499AB9D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14. ke zrušení navrhovaný stávající § 79 Vícezdrojové financování internetové hry</w:t>
      </w:r>
    </w:p>
    <w:p w14:paraId="4659AA6F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ponechání paragrafu</w:t>
      </w:r>
    </w:p>
    <w:p w14:paraId="78EC3CA9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19E02585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Zdůvodnění viz bod 13 připomínek.</w:t>
      </w:r>
    </w:p>
    <w:p w14:paraId="470C1830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3608BE1B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15. § 73</w:t>
      </w:r>
    </w:p>
    <w:p w14:paraId="0871F564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doplnit opatření na ochranu hráčů, že internetová technická hra (a internetová loterie, bude-li přijata navrhovaná právní úprava, k tomu viz níže připomínka č. 15) a internetová živá hra dostupná na území ČR nesmí být provozována v době od 03:00 do 10:00.</w:t>
      </w:r>
    </w:p>
    <w:p w14:paraId="16DFC02B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20DBE600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Navrhovaná úprava má za cíl sjednotit podmínky pro provozování hazardních her. Opatření o přerušení provozu heren je jedno z nejdůležitějších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adiktologických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opatření zákona. Je důležité, aby prostředí internetu, které bude pro hraní hazardních her stále dominantnější, nebylo již bazálním nastavením rizikovější.</w:t>
      </w:r>
    </w:p>
    <w:p w14:paraId="2F134034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Vzhledem k tomu, že novela má za cíl upravit pravidla pro internetové hry dostupné na území ČR, viz návrhy úprav v § 2, je pro provozovatele jednoduché nastavit časový zámek, aby nebylo možné technickou internetovou hru, internetovou loterii a internetovou živou hru v uvedené časy hrát.</w:t>
      </w:r>
    </w:p>
    <w:p w14:paraId="1092D932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Časové omezení pro kurzovou a totalizátorovou hru by pak vzhledem ke specifické povaze těchto her, kdy se kurzové příležitosti vztahují k utkáním mimo zdejší časové pásmo, bylo nepřiměřeným zasahováním do podnikatelského prostředí, proto se na tyto druhy hazardních vztah nevztahuje</w:t>
      </w:r>
    </w:p>
    <w:p w14:paraId="6CA2FF85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44317F89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4. Díl 2, Internetová loterie, § 76 a 77</w:t>
      </w:r>
    </w:p>
    <w:p w14:paraId="39F68C1A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vypuštění těchto paragrafů.</w:t>
      </w:r>
    </w:p>
    <w:p w14:paraId="42699969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682F346C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Loterie je dle dat i dle základní logicky jejího původního nastavení zdaleka nejméně rizikovou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hrů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 pohledu možného vzniku závislostního chování. Je to zejména díky její netechnické </w:t>
      </w: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povaze a díky značné prodlevě mezi sázkou a tažením. To, že existuje technologický pokrok, není legitimním důvodem pro umožnění internetové verze </w:t>
      </w:r>
      <w:proofErr w:type="gram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loterie - podobně</w:t>
      </w:r>
      <w:proofErr w:type="gram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by bylo možné argument pro povolení jakkoliv nebezpečné návykové látka. Zákon má naopak jako jeden ze základních cílů hráče chránit a vytvářet bezpečné prostředí.</w:t>
      </w:r>
    </w:p>
    <w:p w14:paraId="75FB06EC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Návrh na vznik internetové varianty loterie přibližuje loterii technické hře (viz možnost hrát bez přestávky dvě hodiny a pouhé 2 vteřiny od sázky po výsledek), což zcela smazává rozdíly mezi jednotlivými druhy hazardních her a z loterie </w:t>
      </w:r>
      <w:proofErr w:type="gram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vytváří</w:t>
      </w:r>
      <w:proofErr w:type="gram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potenciálně stejně rizikovou hru jako z technické hry.</w:t>
      </w:r>
    </w:p>
    <w:p w14:paraId="3A4576F5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15F16C26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17. § 120 Právo testovat hrací zařízení</w:t>
      </w:r>
    </w:p>
    <w:p w14:paraId="69CEAACB" w14:textId="77777777" w:rsidR="00876E06" w:rsidRPr="00876E06" w:rsidRDefault="00876E06" w:rsidP="00876E06">
      <w:pPr>
        <w:spacing w:after="200"/>
        <w:jc w:val="both"/>
        <w:rPr>
          <w:rFonts w:asciiTheme="minorHAnsi" w:hAnsiTheme="minorHAnsi" w:cstheme="minorHAnsi"/>
          <w:color w:val="222222"/>
          <w:sz w:val="24"/>
          <w:szCs w:val="24"/>
          <w:lang w:eastAsia="en-US"/>
        </w:rPr>
      </w:pPr>
      <w:r w:rsidRPr="00876E06">
        <w:rPr>
          <w:rFonts w:asciiTheme="minorHAnsi" w:hAnsiTheme="minorHAnsi" w:cstheme="minorHAnsi"/>
          <w:color w:val="222222"/>
          <w:sz w:val="24"/>
          <w:szCs w:val="24"/>
          <w:lang w:eastAsia="en-US"/>
        </w:rPr>
        <w:t>Požadujeme doplnit větu: “Pro účely tohoto zákona může osoba pověřená dozorujícím orgánem provádět testování hracích zařízení i bez oznámení kontroly a toto testování skrytě zaznamenávat.” či podobného znění.</w:t>
      </w:r>
    </w:p>
    <w:p w14:paraId="387B2868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Odůvodnění:</w:t>
      </w:r>
    </w:p>
    <w:p w14:paraId="67C9DE84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 identifikaci nelegální hazardní hry v hracím </w:t>
      </w:r>
      <w:proofErr w:type="gram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prostoru - ať</w:t>
      </w:r>
      <w:proofErr w:type="gram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již provozovaného legálně nebo nelegálně - je z podstaty věci často nutné, aby byl v případě podezření na provoz nelegální hry proveden průzkum, o kterém nebude provozovatel informován a nebude moci například herní zařízení vypnout či přepnout do jiného režimu. Pro účely dalšího jednání dle tohoto zákona je důležité mít možnost v reálném prostředí toto zmapovat a zaznamenat v podobě, která umožňuje v následném řízení navrhovat udělení přestupku či zákazu činnosti.</w:t>
      </w:r>
    </w:p>
    <w:p w14:paraId="466A6BC2" w14:textId="77777777" w:rsidR="00876E06" w:rsidRPr="00876E06" w:rsidRDefault="00876E06" w:rsidP="00876E06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Pro účinný boj s nelegálními hrami v kamenných hernách je použití metody “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mystery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>shoppingu</w:t>
      </w:r>
      <w:proofErr w:type="spellEnd"/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” zásadní, protože se zkoumané prostředí chová autenticky, jelikož je toto testování realizováno za běžného provozu.   </w:t>
      </w:r>
    </w:p>
    <w:p w14:paraId="7BB4CA57" w14:textId="77777777" w:rsidR="00876E06" w:rsidRPr="00876E06" w:rsidRDefault="00876E06" w:rsidP="00876E06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76E0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tato připomínka je zásadní </w:t>
      </w:r>
    </w:p>
    <w:p w14:paraId="5894572F" w14:textId="77777777" w:rsidR="00876E06" w:rsidRDefault="00876E06" w:rsidP="00876E0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7710BFA0" w:rsidR="00116A85" w:rsidRPr="00876E06" w:rsidRDefault="001932EA" w:rsidP="00876E0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76E0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876E0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876E0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876E0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876E06" w:rsidRDefault="00090C74" w:rsidP="00876E0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876E06" w:rsidRDefault="009846A5" w:rsidP="00876E0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76E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876E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76E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76E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876E06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876E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876E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5E59CCA9" w:rsidR="00116A85" w:rsidRPr="00876E06" w:rsidRDefault="00B17C0F" w:rsidP="00876E0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876E06">
        <w:rPr>
          <w:rFonts w:asciiTheme="minorHAnsi" w:hAnsiTheme="minorHAnsi" w:cstheme="minorHAnsi"/>
        </w:rPr>
        <w:t>Dr.</w:t>
      </w:r>
      <w:r w:rsidR="00116A85" w:rsidRPr="00876E06">
        <w:rPr>
          <w:rFonts w:asciiTheme="minorHAnsi" w:hAnsiTheme="minorHAnsi" w:cstheme="minorHAnsi"/>
        </w:rPr>
        <w:t xml:space="preserve"> Jan Zikeš</w:t>
      </w:r>
      <w:r w:rsidR="00C02026" w:rsidRPr="00876E06">
        <w:rPr>
          <w:rFonts w:asciiTheme="minorHAnsi" w:hAnsiTheme="minorHAnsi" w:cstheme="minorHAnsi"/>
        </w:rPr>
        <w:tab/>
      </w:r>
      <w:r w:rsidR="00C02026" w:rsidRPr="00876E06">
        <w:rPr>
          <w:rFonts w:asciiTheme="minorHAnsi" w:hAnsiTheme="minorHAnsi" w:cstheme="minorHAnsi"/>
        </w:rPr>
        <w:tab/>
      </w:r>
      <w:r w:rsidR="007D6A55" w:rsidRPr="00876E06">
        <w:rPr>
          <w:rFonts w:asciiTheme="minorHAnsi" w:hAnsiTheme="minorHAnsi" w:cstheme="minorHAnsi"/>
        </w:rPr>
        <w:tab/>
      </w:r>
      <w:r w:rsidR="00F52BC5" w:rsidRPr="00876E06">
        <w:rPr>
          <w:rFonts w:asciiTheme="minorHAnsi" w:hAnsiTheme="minorHAnsi" w:cstheme="minorHAnsi"/>
        </w:rPr>
        <w:tab/>
      </w:r>
      <w:r w:rsidR="00116A85" w:rsidRPr="00876E06">
        <w:rPr>
          <w:rFonts w:asciiTheme="minorHAnsi" w:hAnsiTheme="minorHAnsi" w:cstheme="minorHAnsi"/>
        </w:rPr>
        <w:t>e</w:t>
      </w:r>
      <w:r w:rsidR="001932EA" w:rsidRPr="00876E06">
        <w:rPr>
          <w:rFonts w:asciiTheme="minorHAnsi" w:hAnsiTheme="minorHAnsi" w:cstheme="minorHAnsi"/>
        </w:rPr>
        <w:t>-</w:t>
      </w:r>
      <w:r w:rsidR="00116A85" w:rsidRPr="00876E06">
        <w:rPr>
          <w:rFonts w:asciiTheme="minorHAnsi" w:hAnsiTheme="minorHAnsi" w:cstheme="minorHAnsi"/>
        </w:rPr>
        <w:t>mail:</w:t>
      </w:r>
      <w:r w:rsidR="00B62EFD" w:rsidRPr="00876E06">
        <w:rPr>
          <w:rFonts w:asciiTheme="minorHAnsi" w:hAnsiTheme="minorHAnsi" w:cstheme="minorHAnsi"/>
        </w:rPr>
        <w:tab/>
      </w:r>
      <w:hyperlink r:id="rId12" w:history="1">
        <w:r w:rsidR="00116A85" w:rsidRPr="00876E0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876E06">
        <w:rPr>
          <w:rFonts w:asciiTheme="minorHAnsi" w:hAnsiTheme="minorHAnsi" w:cstheme="minorHAnsi"/>
        </w:rPr>
        <w:tab/>
      </w:r>
      <w:r w:rsidR="00C02026" w:rsidRPr="00876E06">
        <w:rPr>
          <w:rFonts w:asciiTheme="minorHAnsi" w:hAnsiTheme="minorHAnsi" w:cstheme="minorHAnsi"/>
        </w:rPr>
        <w:tab/>
      </w:r>
      <w:r w:rsidR="00680FD8" w:rsidRPr="00876E06">
        <w:rPr>
          <w:rFonts w:asciiTheme="minorHAnsi" w:hAnsiTheme="minorHAnsi" w:cstheme="minorHAnsi"/>
        </w:rPr>
        <w:tab/>
      </w:r>
      <w:r w:rsidR="00116A85" w:rsidRPr="00876E06">
        <w:rPr>
          <w:rFonts w:asciiTheme="minorHAnsi" w:hAnsiTheme="minorHAnsi" w:cstheme="minorHAnsi"/>
        </w:rPr>
        <w:t>tel:</w:t>
      </w:r>
      <w:r w:rsidR="00D442C1" w:rsidRPr="00876E06">
        <w:rPr>
          <w:rFonts w:asciiTheme="minorHAnsi" w:hAnsiTheme="minorHAnsi" w:cstheme="minorHAnsi"/>
        </w:rPr>
        <w:tab/>
      </w:r>
      <w:r w:rsidR="00C02026" w:rsidRPr="00876E06">
        <w:rPr>
          <w:rFonts w:asciiTheme="minorHAnsi" w:hAnsiTheme="minorHAnsi" w:cstheme="minorHAnsi"/>
        </w:rPr>
        <w:t>222 324</w:t>
      </w:r>
      <w:r w:rsidR="00876E06">
        <w:rPr>
          <w:rFonts w:asciiTheme="minorHAnsi" w:hAnsiTheme="minorHAnsi" w:cstheme="minorHAnsi"/>
        </w:rPr>
        <w:t> </w:t>
      </w:r>
      <w:r w:rsidR="00C02026" w:rsidRPr="00876E06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876E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48A039" w14:textId="77777777" w:rsidR="00876E06" w:rsidRPr="00876E06" w:rsidRDefault="00876E06" w:rsidP="00876E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ACDA539" w:rsidR="00FD1397" w:rsidRDefault="009A436D" w:rsidP="00876E06">
      <w:pPr>
        <w:jc w:val="both"/>
        <w:rPr>
          <w:rFonts w:asciiTheme="minorHAnsi" w:hAnsiTheme="minorHAnsi" w:cstheme="minorHAnsi"/>
          <w:sz w:val="24"/>
          <w:szCs w:val="24"/>
        </w:rPr>
      </w:pPr>
      <w:r w:rsidRPr="00876E06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876E06">
        <w:rPr>
          <w:rFonts w:asciiTheme="minorHAnsi" w:hAnsiTheme="minorHAnsi" w:cstheme="minorHAnsi"/>
          <w:sz w:val="24"/>
          <w:szCs w:val="24"/>
        </w:rPr>
        <w:t xml:space="preserve"> </w:t>
      </w:r>
      <w:r w:rsidR="00876E06">
        <w:rPr>
          <w:rFonts w:asciiTheme="minorHAnsi" w:hAnsiTheme="minorHAnsi" w:cstheme="minorHAnsi"/>
          <w:sz w:val="24"/>
          <w:szCs w:val="24"/>
        </w:rPr>
        <w:t>1</w:t>
      </w:r>
      <w:r w:rsidR="00633DC8">
        <w:rPr>
          <w:rFonts w:asciiTheme="minorHAnsi" w:hAnsiTheme="minorHAnsi" w:cstheme="minorHAnsi"/>
          <w:sz w:val="24"/>
          <w:szCs w:val="24"/>
        </w:rPr>
        <w:t xml:space="preserve">9. dubna </w:t>
      </w:r>
      <w:r w:rsidR="00CF3AB9" w:rsidRPr="00876E06">
        <w:rPr>
          <w:rFonts w:asciiTheme="minorHAnsi" w:hAnsiTheme="minorHAnsi" w:cstheme="minorHAnsi"/>
          <w:sz w:val="24"/>
          <w:szCs w:val="24"/>
        </w:rPr>
        <w:t>2023</w:t>
      </w:r>
    </w:p>
    <w:p w14:paraId="376894A5" w14:textId="77777777" w:rsidR="00633DC8" w:rsidRPr="00876E06" w:rsidRDefault="00633DC8" w:rsidP="00876E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876E06" w:rsidRDefault="009846A5" w:rsidP="00876E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876E06" w:rsidRDefault="00BF1917" w:rsidP="00876E06">
      <w:pPr>
        <w:rPr>
          <w:rFonts w:asciiTheme="minorHAnsi" w:hAnsiTheme="minorHAnsi" w:cstheme="minorHAnsi"/>
          <w:b/>
          <w:sz w:val="24"/>
          <w:szCs w:val="24"/>
        </w:rPr>
      </w:pPr>
      <w:r w:rsidRPr="00876E06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2A28AB" w:rsidRPr="00876E06">
        <w:rPr>
          <w:rFonts w:asciiTheme="minorHAnsi" w:hAnsiTheme="minorHAnsi" w:cstheme="minorHAnsi"/>
          <w:sz w:val="24"/>
          <w:szCs w:val="24"/>
        </w:rPr>
        <w:tab/>
      </w:r>
      <w:r w:rsidR="002A28AB" w:rsidRPr="00876E06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876E06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876E06" w:rsidRDefault="00875CDF" w:rsidP="00876E06">
      <w:pPr>
        <w:rPr>
          <w:rFonts w:asciiTheme="minorHAnsi" w:hAnsiTheme="minorHAnsi" w:cstheme="minorHAnsi"/>
          <w:sz w:val="24"/>
          <w:szCs w:val="24"/>
        </w:rPr>
      </w:pPr>
      <w:r w:rsidRPr="00876E06">
        <w:rPr>
          <w:rFonts w:asciiTheme="minorHAnsi" w:hAnsiTheme="minorHAnsi" w:cstheme="minorHAnsi"/>
          <w:sz w:val="24"/>
          <w:szCs w:val="24"/>
        </w:rPr>
        <w:tab/>
      </w:r>
      <w:r w:rsidRPr="00876E06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876E06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876E06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E825FB" w:rsidRPr="00876E06">
        <w:rPr>
          <w:rFonts w:asciiTheme="minorHAnsi" w:hAnsiTheme="minorHAnsi" w:cstheme="minorHAnsi"/>
          <w:sz w:val="24"/>
          <w:szCs w:val="24"/>
        </w:rPr>
        <w:tab/>
      </w:r>
      <w:r w:rsidR="002A28AB" w:rsidRPr="00876E06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876E06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876E06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876E06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876E06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6DFF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3DC8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6E06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2246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15346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30</cp:revision>
  <cp:lastPrinted>2016-10-12T10:41:00Z</cp:lastPrinted>
  <dcterms:created xsi:type="dcterms:W3CDTF">2020-07-21T13:09:00Z</dcterms:created>
  <dcterms:modified xsi:type="dcterms:W3CDTF">2023-04-19T15:10:00Z</dcterms:modified>
</cp:coreProperties>
</file>