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33BE9AA1"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EF18A2" w:rsidRPr="00EF18A2">
        <w:rPr>
          <w:rFonts w:asciiTheme="minorHAnsi" w:hAnsiTheme="minorHAnsi" w:cstheme="minorHAnsi"/>
          <w:b/>
          <w:bCs/>
          <w:sz w:val="24"/>
          <w:szCs w:val="24"/>
        </w:rPr>
        <w:t>Návrh</w:t>
      </w:r>
      <w:r w:rsidR="00EF18A2">
        <w:rPr>
          <w:rFonts w:asciiTheme="minorHAnsi" w:hAnsiTheme="minorHAnsi" w:cstheme="minorHAnsi"/>
          <w:b/>
          <w:bCs/>
          <w:sz w:val="24"/>
          <w:szCs w:val="24"/>
        </w:rPr>
        <w:t>u</w:t>
      </w:r>
      <w:r w:rsidR="00EF18A2" w:rsidRPr="00EF18A2">
        <w:rPr>
          <w:rFonts w:asciiTheme="minorHAnsi" w:hAnsiTheme="minorHAnsi" w:cstheme="minorHAnsi"/>
          <w:b/>
          <w:bCs/>
          <w:sz w:val="24"/>
          <w:szCs w:val="24"/>
        </w:rPr>
        <w:t xml:space="preserve"> zákona, kterým se mění zákon č. 240/2013 Sb., o investičních společnostech a investičních fondech, ve znění pozdějších předpisů, a další související zákony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161CD9" w:rsidRDefault="00320994" w:rsidP="00C50846">
      <w:pPr>
        <w:jc w:val="both"/>
        <w:rPr>
          <w:rFonts w:asciiTheme="minorHAnsi" w:hAnsiTheme="minorHAnsi" w:cstheme="minorHAnsi"/>
          <w:b/>
          <w:bCs/>
          <w:sz w:val="24"/>
          <w:szCs w:val="24"/>
        </w:rPr>
      </w:pPr>
    </w:p>
    <w:p w14:paraId="67C666A8" w14:textId="77777777" w:rsidR="00EF18A2" w:rsidRPr="00EF18A2" w:rsidRDefault="00EF18A2" w:rsidP="00EF18A2">
      <w:pPr>
        <w:spacing w:after="200" w:line="276" w:lineRule="auto"/>
        <w:rPr>
          <w:rFonts w:asciiTheme="minorHAnsi" w:eastAsia="Calibri" w:hAnsiTheme="minorHAnsi" w:cstheme="minorHAnsi"/>
          <w:b/>
          <w:sz w:val="24"/>
          <w:szCs w:val="24"/>
          <w:u w:val="single"/>
          <w:lang w:eastAsia="en-US"/>
        </w:rPr>
      </w:pPr>
      <w:r w:rsidRPr="00EF18A2">
        <w:rPr>
          <w:rFonts w:asciiTheme="minorHAnsi" w:eastAsia="Calibri" w:hAnsiTheme="minorHAnsi" w:cstheme="minorHAnsi"/>
          <w:b/>
          <w:sz w:val="24"/>
          <w:szCs w:val="24"/>
          <w:u w:val="single"/>
          <w:lang w:eastAsia="en-US"/>
        </w:rPr>
        <w:t>Obecné připomínky:</w:t>
      </w:r>
    </w:p>
    <w:p w14:paraId="415D2042" w14:textId="77777777" w:rsidR="00EF18A2" w:rsidRPr="00EF18A2" w:rsidRDefault="00EF18A2" w:rsidP="00EF18A2">
      <w:pPr>
        <w:pBdr>
          <w:bottom w:val="single" w:sz="4" w:space="1" w:color="auto"/>
        </w:pBdr>
        <w:spacing w:after="200" w:line="276" w:lineRule="auto"/>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Licenční řízení by měla probíhat v zákonných lhůtách. Jinak může docházet k poškozování subjektů finančního trhu a finančního trhu v České republice jako celku.</w:t>
      </w:r>
    </w:p>
    <w:p w14:paraId="2CAB6D07" w14:textId="77777777" w:rsidR="00EF18A2" w:rsidRPr="00EF18A2" w:rsidRDefault="00EF18A2" w:rsidP="00EF18A2">
      <w:pPr>
        <w:pBdr>
          <w:bottom w:val="single" w:sz="4" w:space="1" w:color="auto"/>
        </w:pBdr>
        <w:spacing w:after="200" w:line="276" w:lineRule="auto"/>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Z pohledu legislativy i podstaty </w:t>
      </w:r>
      <w:proofErr w:type="spellStart"/>
      <w:r w:rsidRPr="00EF18A2">
        <w:rPr>
          <w:rFonts w:asciiTheme="minorHAnsi" w:eastAsia="Calibri" w:hAnsiTheme="minorHAnsi" w:cstheme="minorHAnsi"/>
          <w:sz w:val="24"/>
          <w:szCs w:val="24"/>
          <w:lang w:eastAsia="en-US"/>
        </w:rPr>
        <w:t>depozitářského</w:t>
      </w:r>
      <w:proofErr w:type="spellEnd"/>
      <w:r w:rsidRPr="00EF18A2">
        <w:rPr>
          <w:rFonts w:asciiTheme="minorHAnsi" w:eastAsia="Calibri" w:hAnsiTheme="minorHAnsi" w:cstheme="minorHAnsi"/>
          <w:sz w:val="24"/>
          <w:szCs w:val="24"/>
          <w:lang w:eastAsia="en-US"/>
        </w:rPr>
        <w:t xml:space="preserve"> dohledu jsou zakladatelská a investiční část </w:t>
      </w:r>
      <w:proofErr w:type="spellStart"/>
      <w:r w:rsidRPr="00EF18A2">
        <w:rPr>
          <w:rFonts w:asciiTheme="minorHAnsi" w:eastAsia="Calibri" w:hAnsiTheme="minorHAnsi" w:cstheme="minorHAnsi"/>
          <w:sz w:val="24"/>
          <w:szCs w:val="24"/>
          <w:lang w:eastAsia="en-US"/>
        </w:rPr>
        <w:t>SICAVu</w:t>
      </w:r>
      <w:proofErr w:type="spellEnd"/>
      <w:r w:rsidRPr="00EF18A2">
        <w:rPr>
          <w:rFonts w:asciiTheme="minorHAnsi" w:eastAsia="Calibri" w:hAnsiTheme="minorHAnsi" w:cstheme="minorHAnsi"/>
          <w:sz w:val="24"/>
          <w:szCs w:val="24"/>
          <w:lang w:eastAsia="en-US"/>
        </w:rPr>
        <w:t xml:space="preserve"> považovány za dva samostatné subjekty. Pro účely zajištění ochrany zájmů investorů je proto zcela postačující, pokud budou kontroly vykonávány pouze vůči investiční části. </w:t>
      </w:r>
    </w:p>
    <w:p w14:paraId="47827258" w14:textId="77777777" w:rsidR="00EF18A2" w:rsidRPr="00EF18A2" w:rsidRDefault="00EF18A2" w:rsidP="00EF18A2">
      <w:pPr>
        <w:spacing w:after="200" w:line="276" w:lineRule="auto"/>
        <w:rPr>
          <w:rFonts w:asciiTheme="minorHAnsi" w:eastAsia="Calibri" w:hAnsiTheme="minorHAnsi" w:cstheme="minorHAnsi"/>
          <w:b/>
          <w:sz w:val="24"/>
          <w:szCs w:val="24"/>
          <w:u w:val="single"/>
          <w:lang w:eastAsia="en-US"/>
        </w:rPr>
      </w:pPr>
      <w:r w:rsidRPr="00EF18A2">
        <w:rPr>
          <w:rFonts w:asciiTheme="minorHAnsi" w:eastAsia="Calibri" w:hAnsiTheme="minorHAnsi" w:cstheme="minorHAnsi"/>
          <w:b/>
          <w:sz w:val="24"/>
          <w:szCs w:val="24"/>
          <w:u w:val="single"/>
          <w:lang w:eastAsia="en-US"/>
        </w:rPr>
        <w:t>Konkrétní připomínky:</w:t>
      </w:r>
    </w:p>
    <w:p w14:paraId="72697AC6" w14:textId="77777777" w:rsidR="00EF18A2" w:rsidRPr="00EF18A2" w:rsidRDefault="00EF18A2" w:rsidP="00EF18A2">
      <w:pPr>
        <w:tabs>
          <w:tab w:val="left" w:pos="567"/>
        </w:tabs>
        <w:jc w:val="both"/>
        <w:rPr>
          <w:rFonts w:asciiTheme="minorHAnsi" w:eastAsiaTheme="minorHAnsi" w:hAnsiTheme="minorHAnsi" w:cstheme="minorHAnsi"/>
          <w:b/>
          <w:color w:val="FF0000"/>
          <w:sz w:val="24"/>
          <w:szCs w:val="24"/>
          <w:lang w:eastAsia="en-US"/>
        </w:rPr>
      </w:pPr>
      <w:r w:rsidRPr="00EF18A2">
        <w:rPr>
          <w:rFonts w:asciiTheme="minorHAnsi" w:eastAsiaTheme="minorHAnsi" w:hAnsiTheme="minorHAnsi" w:cstheme="minorHAnsi"/>
          <w:b/>
          <w:sz w:val="24"/>
          <w:szCs w:val="24"/>
          <w:lang w:eastAsia="en-US"/>
        </w:rPr>
        <w:t>K § 483 odst. 4</w:t>
      </w:r>
    </w:p>
    <w:p w14:paraId="5397F1D8"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Nevydá-li </w:t>
      </w:r>
      <w:r w:rsidRPr="00EF18A2">
        <w:rPr>
          <w:rFonts w:asciiTheme="minorHAnsi" w:eastAsiaTheme="minorHAnsi" w:hAnsiTheme="minorHAnsi" w:cstheme="minorHAnsi"/>
          <w:bCs/>
          <w:strike/>
          <w:sz w:val="24"/>
          <w:szCs w:val="24"/>
          <w:lang w:eastAsia="en-US"/>
        </w:rPr>
        <w:t>rozhodnutí</w:t>
      </w:r>
      <w:r w:rsidRPr="00EF18A2">
        <w:rPr>
          <w:rFonts w:asciiTheme="minorHAnsi" w:eastAsiaTheme="minorHAnsi" w:hAnsiTheme="minorHAnsi" w:cstheme="minorHAnsi"/>
          <w:bCs/>
          <w:sz w:val="24"/>
          <w:szCs w:val="24"/>
          <w:lang w:eastAsia="en-US"/>
        </w:rPr>
        <w:t xml:space="preserve"> Česká národní banka</w:t>
      </w:r>
      <w:r w:rsidRPr="00EF18A2">
        <w:rPr>
          <w:rFonts w:asciiTheme="minorHAnsi" w:eastAsiaTheme="minorHAnsi" w:hAnsiTheme="minorHAnsi" w:cstheme="minorHAnsi"/>
          <w:b/>
          <w:sz w:val="24"/>
          <w:szCs w:val="24"/>
          <w:lang w:eastAsia="en-US"/>
        </w:rPr>
        <w:t xml:space="preserve"> rozhodnutí</w:t>
      </w:r>
      <w:r w:rsidRPr="00EF18A2">
        <w:rPr>
          <w:rFonts w:asciiTheme="minorHAnsi" w:eastAsiaTheme="minorHAnsi" w:hAnsiTheme="minorHAnsi" w:cstheme="minorHAnsi"/>
          <w:bCs/>
          <w:sz w:val="24"/>
          <w:szCs w:val="24"/>
          <w:lang w:eastAsia="en-US"/>
        </w:rPr>
        <w:t xml:space="preserve"> o žádosti o povolení ve lhůtě podle odstavců 1 až 3, </w:t>
      </w:r>
      <w:r w:rsidRPr="00EF18A2">
        <w:rPr>
          <w:rFonts w:asciiTheme="minorHAnsi" w:eastAsiaTheme="minorHAnsi" w:hAnsiTheme="minorHAnsi" w:cstheme="minorHAnsi"/>
          <w:bCs/>
          <w:strike/>
          <w:sz w:val="24"/>
          <w:szCs w:val="24"/>
          <w:lang w:eastAsia="en-US"/>
        </w:rPr>
        <w:t xml:space="preserve">lze se domáhat, aby jí soud uložil povinnost vydat rozhodnutí ve věci samé, i když nebyly bezvýsledně vyčerpány prostředky, které správní řád stanoví k ochraně proti nečinnosti správního orgánu </w:t>
      </w:r>
      <w:r w:rsidRPr="00EF18A2">
        <w:rPr>
          <w:rFonts w:asciiTheme="minorHAnsi" w:eastAsiaTheme="minorHAnsi" w:hAnsiTheme="minorHAnsi" w:cstheme="minorHAnsi"/>
          <w:b/>
          <w:sz w:val="24"/>
          <w:szCs w:val="24"/>
          <w:lang w:eastAsia="en-US"/>
        </w:rPr>
        <w:t>platí, že povolení bylo uděleno</w:t>
      </w:r>
      <w:r w:rsidRPr="00EF18A2">
        <w:rPr>
          <w:rFonts w:asciiTheme="minorHAnsi" w:eastAsiaTheme="minorHAnsi" w:hAnsiTheme="minorHAnsi" w:cstheme="minorHAnsi"/>
          <w:bCs/>
          <w:sz w:val="24"/>
          <w:szCs w:val="24"/>
          <w:lang w:eastAsia="en-US"/>
        </w:rPr>
        <w:t>.</w:t>
      </w:r>
    </w:p>
    <w:p w14:paraId="0725C550" w14:textId="77777777" w:rsidR="00EF18A2" w:rsidRPr="00EF18A2" w:rsidRDefault="00EF18A2" w:rsidP="00EF18A2">
      <w:pPr>
        <w:tabs>
          <w:tab w:val="left" w:pos="567"/>
        </w:tabs>
        <w:jc w:val="both"/>
        <w:rPr>
          <w:rFonts w:asciiTheme="minorHAnsi" w:eastAsiaTheme="minorHAnsi" w:hAnsiTheme="minorHAnsi" w:cstheme="minorHAnsi"/>
          <w:b/>
          <w:sz w:val="24"/>
          <w:szCs w:val="24"/>
          <w:lang w:eastAsia="en-US"/>
        </w:rPr>
      </w:pPr>
    </w:p>
    <w:p w14:paraId="4F0F395F" w14:textId="77777777" w:rsidR="00EF18A2" w:rsidRPr="00EF18A2" w:rsidRDefault="00EF18A2" w:rsidP="00EF18A2">
      <w:pPr>
        <w:tabs>
          <w:tab w:val="left" w:pos="567"/>
        </w:tabs>
        <w:jc w:val="both"/>
        <w:rPr>
          <w:rFonts w:asciiTheme="minorHAnsi" w:eastAsiaTheme="minorHAnsi" w:hAnsiTheme="minorHAnsi" w:cstheme="minorHAnsi"/>
          <w:sz w:val="24"/>
          <w:szCs w:val="24"/>
          <w:u w:val="single"/>
          <w:lang w:eastAsia="en-US"/>
        </w:rPr>
      </w:pPr>
      <w:r w:rsidRPr="00EF18A2">
        <w:rPr>
          <w:rFonts w:asciiTheme="minorHAnsi" w:eastAsiaTheme="minorHAnsi" w:hAnsiTheme="minorHAnsi" w:cstheme="minorHAnsi"/>
          <w:sz w:val="24"/>
          <w:szCs w:val="24"/>
          <w:u w:val="single"/>
          <w:lang w:eastAsia="en-US"/>
        </w:rPr>
        <w:t xml:space="preserve">Odůvodnění: </w:t>
      </w:r>
    </w:p>
    <w:p w14:paraId="1618CAE7"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V souladu s ustanovením článku 8 odst. 5 směrnice Evropského parlamentu a Rady 2011/61/EU ze dne 8. června 2011 o správcích alternativních investičních fondů a o změně směrnic 2003/41/ES a 2009/65/ES a nařízení (ES) č. 1060/2009 a (EU) č. 1095/2010 (AIFMD), ve znění pozdějších předpisů, mají příslušné orgány domovského členského státu správce informovat žadatele do tří měsíců od podání úplné žádosti o výsledku licenčního řízení. Současné znění příslušného ustanovení zákona přiznává subjektům možnost domáhat se žalobou rozhodnutí České národní banky, aniž by daný subjekt musel vyčerpat prostředky ochrany před nečinností, jak je upravuje správní řád. Této možnosti se však regulované subjekty zdráhají využívat vzhledem ke specifickému postavení České národní banky vůči regulovaným subjektům v rámci zákona, a to ani v případě, kdy v daném licenční řízení Česká národní banka v zákonné lhůtě nejen nerozhodne, ale neučiní ani jiný úkon v daném správním řízení. Neprovedení navrhované změny může poškodit finanční trh v České republice. Regulované subjekty jsou závislé na udělení povolení k činnosti, bez kterého nemohou vykonávat danou činnost. Právo na vydání rozhodnutí přitom mají žádající subjekty přiznané </w:t>
      </w:r>
      <w:r w:rsidRPr="00EF18A2">
        <w:rPr>
          <w:rFonts w:asciiTheme="minorHAnsi" w:eastAsiaTheme="minorHAnsi" w:hAnsiTheme="minorHAnsi" w:cstheme="minorHAnsi"/>
          <w:bCs/>
          <w:sz w:val="24"/>
          <w:szCs w:val="24"/>
          <w:lang w:eastAsia="en-US"/>
        </w:rPr>
        <w:lastRenderedPageBreak/>
        <w:t>dle AIFMD do 3 měsíců, případně do 6 měsíců v případě mimořádných okolností. Jestliže tyto lhůty nejsou dodržovány, dochází k porušování sekundárního práva a v souladu s ustálenou judikaturou Soudního dvora Evropské unie i k porušování práv subjektů faktickým nedodržováním směrnice.</w:t>
      </w:r>
    </w:p>
    <w:p w14:paraId="502CCE24"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zásadní. </w:t>
      </w:r>
    </w:p>
    <w:p w14:paraId="61ED2D31" w14:textId="77777777" w:rsidR="00EF18A2" w:rsidRPr="00EF18A2" w:rsidRDefault="00EF18A2" w:rsidP="00EF18A2">
      <w:pPr>
        <w:tabs>
          <w:tab w:val="left" w:pos="567"/>
        </w:tabs>
        <w:jc w:val="both"/>
        <w:rPr>
          <w:rFonts w:asciiTheme="minorHAnsi" w:hAnsiTheme="minorHAnsi" w:cstheme="minorHAnsi"/>
          <w:b/>
          <w:color w:val="FF0000"/>
          <w:sz w:val="24"/>
          <w:szCs w:val="24"/>
          <w:lang w:eastAsia="en-GB"/>
        </w:rPr>
      </w:pPr>
      <w:r w:rsidRPr="00EF18A2">
        <w:rPr>
          <w:rFonts w:asciiTheme="minorHAnsi" w:hAnsiTheme="minorHAnsi" w:cstheme="minorHAnsi"/>
          <w:b/>
          <w:sz w:val="24"/>
          <w:szCs w:val="24"/>
        </w:rPr>
        <w:t xml:space="preserve">K § 68 </w:t>
      </w:r>
    </w:p>
    <w:p w14:paraId="62EBA324" w14:textId="77777777" w:rsidR="00EF18A2" w:rsidRPr="00EF18A2" w:rsidRDefault="00EF18A2" w:rsidP="00EF18A2">
      <w:pPr>
        <w:pStyle w:val="Odstavecseseznamem"/>
        <w:tabs>
          <w:tab w:val="left" w:pos="567"/>
        </w:tabs>
        <w:spacing w:after="0" w:line="240" w:lineRule="auto"/>
        <w:ind w:left="0"/>
        <w:jc w:val="both"/>
        <w:rPr>
          <w:rFonts w:asciiTheme="minorHAnsi" w:hAnsiTheme="minorHAnsi" w:cstheme="minorHAnsi"/>
          <w:b/>
          <w:bCs/>
          <w:sz w:val="24"/>
          <w:szCs w:val="24"/>
        </w:rPr>
      </w:pPr>
      <w:r w:rsidRPr="00EF18A2">
        <w:rPr>
          <w:rFonts w:asciiTheme="minorHAnsi" w:hAnsiTheme="minorHAnsi" w:cstheme="minorHAnsi"/>
          <w:sz w:val="24"/>
          <w:szCs w:val="24"/>
        </w:rPr>
        <w:t xml:space="preserve">Každý fond kolektivního investování musí mít pouze jednoho depozitáře. Připouští-li stanovy tohoto fondu vytvoření podfondu, depozitář tohoto fondu vykonává činnost depozitáře </w:t>
      </w:r>
      <w:r w:rsidRPr="00EF18A2">
        <w:rPr>
          <w:rFonts w:asciiTheme="minorHAnsi" w:hAnsiTheme="minorHAnsi" w:cstheme="minorHAnsi"/>
          <w:b/>
          <w:bCs/>
          <w:sz w:val="24"/>
          <w:szCs w:val="24"/>
        </w:rPr>
        <w:t>pouze</w:t>
      </w:r>
      <w:r w:rsidRPr="00EF18A2">
        <w:rPr>
          <w:rFonts w:asciiTheme="minorHAnsi" w:hAnsiTheme="minorHAnsi" w:cstheme="minorHAnsi"/>
          <w:sz w:val="24"/>
          <w:szCs w:val="24"/>
        </w:rPr>
        <w:t xml:space="preserve"> </w:t>
      </w:r>
      <w:r w:rsidRPr="00EF18A2">
        <w:rPr>
          <w:rFonts w:asciiTheme="minorHAnsi" w:hAnsiTheme="minorHAnsi" w:cstheme="minorHAnsi"/>
          <w:strike/>
          <w:sz w:val="24"/>
          <w:szCs w:val="24"/>
        </w:rPr>
        <w:t>i</w:t>
      </w:r>
      <w:r w:rsidRPr="00EF18A2">
        <w:rPr>
          <w:rFonts w:asciiTheme="minorHAnsi" w:hAnsiTheme="minorHAnsi" w:cstheme="minorHAnsi"/>
          <w:sz w:val="24"/>
          <w:szCs w:val="24"/>
        </w:rPr>
        <w:t xml:space="preserve"> pro tyto podfondy. </w:t>
      </w:r>
      <w:r w:rsidRPr="00EF18A2">
        <w:rPr>
          <w:rFonts w:asciiTheme="minorHAnsi" w:hAnsiTheme="minorHAnsi" w:cstheme="minorHAnsi"/>
          <w:b/>
          <w:bCs/>
          <w:sz w:val="24"/>
          <w:szCs w:val="24"/>
        </w:rPr>
        <w:t xml:space="preserve">V případě, že má fond kolektivního investování formu akciové společnosti s proměnným základním kapitálem, která </w:t>
      </w:r>
      <w:proofErr w:type="gramStart"/>
      <w:r w:rsidRPr="00EF18A2">
        <w:rPr>
          <w:rFonts w:asciiTheme="minorHAnsi" w:hAnsiTheme="minorHAnsi" w:cstheme="minorHAnsi"/>
          <w:b/>
          <w:bCs/>
          <w:sz w:val="24"/>
          <w:szCs w:val="24"/>
        </w:rPr>
        <w:t>nevytváří</w:t>
      </w:r>
      <w:proofErr w:type="gramEnd"/>
      <w:r w:rsidRPr="00EF18A2">
        <w:rPr>
          <w:rFonts w:asciiTheme="minorHAnsi" w:hAnsiTheme="minorHAnsi" w:cstheme="minorHAnsi"/>
          <w:b/>
          <w:bCs/>
          <w:sz w:val="24"/>
          <w:szCs w:val="24"/>
        </w:rPr>
        <w:t xml:space="preserve"> podfondy, a účetně a majetkově odděluje majetek a dluhy ze své investiční činnosti od svého ostatního jmění, vykonává depozitář svou činnost pouze vůči majetku a dluhům z investiční činnosti fondu. </w:t>
      </w:r>
    </w:p>
    <w:p w14:paraId="04DE7CF7" w14:textId="77777777" w:rsidR="00EF18A2" w:rsidRPr="00EF18A2" w:rsidRDefault="00EF18A2" w:rsidP="00EF18A2">
      <w:pPr>
        <w:pStyle w:val="Odstavecseseznamem"/>
        <w:tabs>
          <w:tab w:val="left" w:pos="567"/>
        </w:tabs>
        <w:spacing w:after="0" w:line="240" w:lineRule="auto"/>
        <w:ind w:left="0"/>
        <w:jc w:val="both"/>
        <w:rPr>
          <w:rFonts w:asciiTheme="minorHAnsi" w:hAnsiTheme="minorHAnsi" w:cstheme="minorHAnsi"/>
          <w:b/>
          <w:sz w:val="24"/>
          <w:szCs w:val="24"/>
        </w:rPr>
      </w:pPr>
    </w:p>
    <w:p w14:paraId="666CBDE2" w14:textId="77777777" w:rsidR="00EF18A2" w:rsidRPr="00EF18A2" w:rsidRDefault="00EF18A2" w:rsidP="00EF18A2">
      <w:pPr>
        <w:pStyle w:val="Odstavecseseznamem"/>
        <w:tabs>
          <w:tab w:val="left" w:pos="567"/>
        </w:tabs>
        <w:spacing w:after="0" w:line="240" w:lineRule="auto"/>
        <w:ind w:left="0"/>
        <w:jc w:val="both"/>
        <w:rPr>
          <w:rFonts w:asciiTheme="minorHAnsi" w:hAnsiTheme="minorHAnsi" w:cstheme="minorHAnsi"/>
          <w:sz w:val="24"/>
          <w:szCs w:val="24"/>
          <w:u w:val="single"/>
        </w:rPr>
      </w:pPr>
      <w:r w:rsidRPr="00EF18A2">
        <w:rPr>
          <w:rFonts w:asciiTheme="minorHAnsi" w:hAnsiTheme="minorHAnsi" w:cstheme="minorHAnsi"/>
          <w:sz w:val="24"/>
          <w:szCs w:val="24"/>
          <w:u w:val="single"/>
        </w:rPr>
        <w:t xml:space="preserve">Odůvodnění: </w:t>
      </w:r>
    </w:p>
    <w:p w14:paraId="74BD831B" w14:textId="77777777" w:rsidR="00EF18A2" w:rsidRPr="00EF18A2" w:rsidRDefault="00EF18A2" w:rsidP="00EF18A2">
      <w:pPr>
        <w:jc w:val="both"/>
        <w:rPr>
          <w:rFonts w:asciiTheme="minorHAnsi" w:hAnsiTheme="minorHAnsi" w:cstheme="minorHAnsi"/>
          <w:sz w:val="24"/>
          <w:szCs w:val="24"/>
        </w:rPr>
      </w:pPr>
      <w:r w:rsidRPr="00EF18A2">
        <w:rPr>
          <w:rFonts w:asciiTheme="minorHAnsi" w:hAnsiTheme="minorHAnsi" w:cstheme="minorHAnsi"/>
          <w:sz w:val="24"/>
          <w:szCs w:val="24"/>
        </w:rPr>
        <w:t xml:space="preserve">Vzhledem k tomu, že z pohledu legislativy i podstaty </w:t>
      </w:r>
      <w:proofErr w:type="spellStart"/>
      <w:r w:rsidRPr="00EF18A2">
        <w:rPr>
          <w:rFonts w:asciiTheme="minorHAnsi" w:hAnsiTheme="minorHAnsi" w:cstheme="minorHAnsi"/>
          <w:sz w:val="24"/>
          <w:szCs w:val="24"/>
        </w:rPr>
        <w:t>depozitářského</w:t>
      </w:r>
      <w:proofErr w:type="spellEnd"/>
      <w:r w:rsidRPr="00EF18A2">
        <w:rPr>
          <w:rFonts w:asciiTheme="minorHAnsi" w:hAnsiTheme="minorHAnsi" w:cstheme="minorHAnsi"/>
          <w:sz w:val="24"/>
          <w:szCs w:val="24"/>
        </w:rPr>
        <w:t xml:space="preserve"> dohledu jsou zakladatelská a investiční část </w:t>
      </w:r>
      <w:proofErr w:type="spellStart"/>
      <w:r w:rsidRPr="00EF18A2">
        <w:rPr>
          <w:rFonts w:asciiTheme="minorHAnsi" w:hAnsiTheme="minorHAnsi" w:cstheme="minorHAnsi"/>
          <w:sz w:val="24"/>
          <w:szCs w:val="24"/>
        </w:rPr>
        <w:t>SICAVu</w:t>
      </w:r>
      <w:proofErr w:type="spellEnd"/>
      <w:r w:rsidRPr="00EF18A2">
        <w:rPr>
          <w:rFonts w:asciiTheme="minorHAnsi" w:hAnsiTheme="minorHAnsi" w:cstheme="minorHAnsi"/>
          <w:sz w:val="24"/>
          <w:szCs w:val="24"/>
        </w:rPr>
        <w:t xml:space="preserve"> považovány za dva samostatné subjekty, je pro účely zajištění ochrany zájmů investorů zcela postačující, pokud budou kontroly vykonávány pouze vůči investiční části. Část majetku vztahující se k zakladatelským akcím </w:t>
      </w:r>
      <w:proofErr w:type="gramStart"/>
      <w:r w:rsidRPr="00EF18A2">
        <w:rPr>
          <w:rFonts w:asciiTheme="minorHAnsi" w:hAnsiTheme="minorHAnsi" w:cstheme="minorHAnsi"/>
          <w:sz w:val="24"/>
          <w:szCs w:val="24"/>
        </w:rPr>
        <w:t>neslouží</w:t>
      </w:r>
      <w:proofErr w:type="gramEnd"/>
      <w:r w:rsidRPr="00EF18A2">
        <w:rPr>
          <w:rFonts w:asciiTheme="minorHAnsi" w:hAnsiTheme="minorHAnsi" w:cstheme="minorHAnsi"/>
          <w:sz w:val="24"/>
          <w:szCs w:val="24"/>
        </w:rPr>
        <w:t xml:space="preserve"> k výkonu kolektivního investování, slouží pouze k zajištění fungování fondu (často jde pouze o účet, na kterém leží složený zapisovaný základní kapitál fondu). Podstatou činnosti depozitáře je ochrana zájmů investorů (držitelů investičních akcií, či podílových listů), není proto zřejmé, jaké činnosti by měl podle návrhu zákonodárce depozitář vůči zakladatelské části kontrolovat. </w:t>
      </w:r>
    </w:p>
    <w:p w14:paraId="255B9441"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45533564"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
          <w:bCs/>
          <w:sz w:val="24"/>
          <w:szCs w:val="24"/>
          <w:lang w:eastAsia="en-US"/>
        </w:rPr>
        <w:t>K § 71</w:t>
      </w:r>
      <w:r w:rsidRPr="00EF18A2">
        <w:rPr>
          <w:rFonts w:asciiTheme="minorHAnsi" w:eastAsiaTheme="minorHAnsi" w:hAnsiTheme="minorHAnsi" w:cstheme="minorHAnsi"/>
          <w:bCs/>
          <w:sz w:val="24"/>
          <w:szCs w:val="24"/>
          <w:lang w:eastAsia="en-US"/>
        </w:rPr>
        <w:t xml:space="preserve"> - opatrování, úschova, evidence majetku </w:t>
      </w:r>
    </w:p>
    <w:p w14:paraId="24340483"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Majetek provozní části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xml:space="preserve"> </w:t>
      </w:r>
      <w:proofErr w:type="gramStart"/>
      <w:r w:rsidRPr="00EF18A2">
        <w:rPr>
          <w:rFonts w:asciiTheme="minorHAnsi" w:eastAsiaTheme="minorHAnsi" w:hAnsiTheme="minorHAnsi" w:cstheme="minorHAnsi"/>
          <w:bCs/>
          <w:sz w:val="24"/>
          <w:szCs w:val="24"/>
          <w:lang w:eastAsia="en-US"/>
        </w:rPr>
        <w:t>neslouží</w:t>
      </w:r>
      <w:proofErr w:type="gramEnd"/>
      <w:r w:rsidRPr="00EF18A2">
        <w:rPr>
          <w:rFonts w:asciiTheme="minorHAnsi" w:eastAsiaTheme="minorHAnsi" w:hAnsiTheme="minorHAnsi" w:cstheme="minorHAnsi"/>
          <w:bCs/>
          <w:sz w:val="24"/>
          <w:szCs w:val="24"/>
          <w:lang w:eastAsia="en-US"/>
        </w:rPr>
        <w:t xml:space="preserve"> k investování. Jde o vlastní majetek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xml:space="preserve">, ne majetek třetích osob (investorů), namnoze jde o majetek provozní sloužící k výkonu podnikatelské činnosti obhospodařování majetku podfondu a zabezpečení základního provozu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Nedává tedy smysl, aby depozitář uschovával nebo evidoval kancelářské vybavení, či automobily, ani další majetek připadající na držitele zakladatelských akcií.</w:t>
      </w:r>
    </w:p>
    <w:p w14:paraId="7A9DDE7E"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156D7DDD"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
          <w:bCs/>
          <w:sz w:val="24"/>
          <w:szCs w:val="24"/>
          <w:lang w:eastAsia="en-US"/>
        </w:rPr>
        <w:t>K § 72</w:t>
      </w:r>
      <w:r w:rsidRPr="00EF18A2">
        <w:rPr>
          <w:rFonts w:asciiTheme="minorHAnsi" w:eastAsiaTheme="minorHAnsi" w:hAnsiTheme="minorHAnsi" w:cstheme="minorHAnsi"/>
          <w:bCs/>
          <w:sz w:val="24"/>
          <w:szCs w:val="24"/>
          <w:lang w:eastAsia="en-US"/>
        </w:rPr>
        <w:t xml:space="preserve"> – vedení účtů a kontrola pohybu na nich </w:t>
      </w:r>
    </w:p>
    <w:p w14:paraId="248244F4"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Kontrola pohybu předpokládá existenci nějakých omezení (zákonných, </w:t>
      </w:r>
      <w:proofErr w:type="spellStart"/>
      <w:r w:rsidRPr="00EF18A2">
        <w:rPr>
          <w:rFonts w:asciiTheme="minorHAnsi" w:eastAsiaTheme="minorHAnsi" w:hAnsiTheme="minorHAnsi" w:cstheme="minorHAnsi"/>
          <w:bCs/>
          <w:sz w:val="24"/>
          <w:szCs w:val="24"/>
          <w:lang w:eastAsia="en-US"/>
        </w:rPr>
        <w:t>statutových</w:t>
      </w:r>
      <w:proofErr w:type="spellEnd"/>
      <w:r w:rsidRPr="00EF18A2">
        <w:rPr>
          <w:rFonts w:asciiTheme="minorHAnsi" w:eastAsiaTheme="minorHAnsi" w:hAnsiTheme="minorHAnsi" w:cstheme="minorHAnsi"/>
          <w:bCs/>
          <w:sz w:val="24"/>
          <w:szCs w:val="24"/>
          <w:lang w:eastAsia="en-US"/>
        </w:rPr>
        <w:t>) pro využívání prostředků na účtech provozní části, jejichž dodržování depozitář ověřuje. Po zrušení povinnosti vyhotovovat statut pro SICAV, jak je navrhováno technickou novelou, tak fakticky dojde ke zrušení jediného dokumentu, který nyní může stanovovat pravidla nakládání s majetkem v provozní části fondu, jejichž dodržování by měl depozitář kontrolovat.  Případná interakce mezi provozní a investiční částí by pak i nadále byla předmětem kontroly depozitáře z titulu plnění jeho povinností vzhledem k investiční části.</w:t>
      </w:r>
    </w:p>
    <w:p w14:paraId="349C0AED"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615BE81C"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 xml:space="preserve">K § 73 odst. 1, písm. a) </w:t>
      </w:r>
    </w:p>
    <w:p w14:paraId="1DE454FD"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Nelze na provozní část aplikovat, protože ta neemituje investiční akcie</w:t>
      </w:r>
    </w:p>
    <w:p w14:paraId="5B9D2714"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36F11ACF"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 xml:space="preserve">K § 73 odst. 1, písm. b) </w:t>
      </w:r>
    </w:p>
    <w:p w14:paraId="5A9E4A4B"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Nelze na neinvestiční část aplikovat, protože ta neemituje investiční akcie. Z čl. 5, bod 3 nařízení k UCITS jasně vyplývá, že kontrolu by měl depozitář provádět pouze vůči majetku </w:t>
      </w:r>
      <w:r w:rsidRPr="00EF18A2">
        <w:rPr>
          <w:rFonts w:asciiTheme="minorHAnsi" w:eastAsiaTheme="minorHAnsi" w:hAnsiTheme="minorHAnsi" w:cstheme="minorHAnsi"/>
          <w:bCs/>
          <w:sz w:val="24"/>
          <w:szCs w:val="24"/>
          <w:lang w:eastAsia="en-US"/>
        </w:rPr>
        <w:lastRenderedPageBreak/>
        <w:t xml:space="preserve">investorů, tedy investiční části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xml:space="preserve"> („zajistí, aby byly v nejlepším zájmu investorů SKIPCP včas podniknuty kroky k nápravě“).</w:t>
      </w:r>
    </w:p>
    <w:p w14:paraId="059509F3"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41AB5591"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K § 73 odst. 1, písm. c)</w:t>
      </w:r>
    </w:p>
    <w:p w14:paraId="64FE6E8B"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Nelze na neinvestiční část aplikovat, resp. provádění této kontroly nedává smysl, jednak protože by se jednalo o oceňování provozního majetku, jednak proto, že za neinvestiční části nedochází ke kontrole stanovení NAV (viz předchozí odrážka), jejíž je </w:t>
      </w:r>
      <w:proofErr w:type="spellStart"/>
      <w:r w:rsidRPr="00EF18A2">
        <w:rPr>
          <w:rFonts w:asciiTheme="minorHAnsi" w:eastAsiaTheme="minorHAnsi" w:hAnsiTheme="minorHAnsi" w:cstheme="minorHAnsi"/>
          <w:bCs/>
          <w:sz w:val="24"/>
          <w:szCs w:val="24"/>
          <w:lang w:eastAsia="en-US"/>
        </w:rPr>
        <w:t>odkontrolované</w:t>
      </w:r>
      <w:proofErr w:type="spellEnd"/>
      <w:r w:rsidRPr="00EF18A2">
        <w:rPr>
          <w:rFonts w:asciiTheme="minorHAnsi" w:eastAsiaTheme="minorHAnsi" w:hAnsiTheme="minorHAnsi" w:cstheme="minorHAnsi"/>
          <w:bCs/>
          <w:sz w:val="24"/>
          <w:szCs w:val="24"/>
          <w:lang w:eastAsia="en-US"/>
        </w:rPr>
        <w:t xml:space="preserve"> ocenění důležitým vstupem.</w:t>
      </w:r>
    </w:p>
    <w:p w14:paraId="0FE3C6A8"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3048CDAF"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 xml:space="preserve">K § 73 odst. 1, písm. d) </w:t>
      </w:r>
    </w:p>
    <w:p w14:paraId="74078451"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V rámci provozní činnosti nedochází k provádění obchodů, u nichž by připadala v úvahu kontrola protiplnění. Nedává smysl, aby depozitář kontroloval, zda fond proti zaplacené faktuře např. dostal balíky papíru do tiskárny.</w:t>
      </w:r>
    </w:p>
    <w:p w14:paraId="5F6C1E25"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51CD620F"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 xml:space="preserve">K §73 odst. 1, písm. e) </w:t>
      </w:r>
    </w:p>
    <w:p w14:paraId="4F37B383"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Nelze na neinvestiční část aplikovat. Z čl. 8, bod 2 nařízení ke směrnici UCITS jasně vyplývá, že kontrolu by měl depozitář provádět pouze vůči majetku investorů, tedy investiční části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xml:space="preserve"> („zajistí, aby byly v nejlepším zájmu investorů SKIPCP včas podniknuty kroky k nápravě“). </w:t>
      </w:r>
    </w:p>
    <w:p w14:paraId="26EE8F2B"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28F731A6"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 xml:space="preserve">K § 73 odst. 1, písm. f) </w:t>
      </w:r>
    </w:p>
    <w:p w14:paraId="2E387CA8"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U fondů kolektivního investování není jasné, jak a vůči čemu by měla být kontrola prováděna vzhledem ke skutečnosti, že provozní část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xml:space="preserve"> nemá žádnou investiční politiku, ani pravidla pro rozložení rizika.</w:t>
      </w:r>
    </w:p>
    <w:p w14:paraId="4812FA38"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1B16113C"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 xml:space="preserve">K § 73 odst. 2 </w:t>
      </w:r>
    </w:p>
    <w:p w14:paraId="389FEAF0"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Nelze aplikovat, protože statut neinvestiční části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xml:space="preserve"> nestanovuje žádná pravidla pro provádění příkazů, resp. nově neinvestiční část </w:t>
      </w:r>
      <w:proofErr w:type="spellStart"/>
      <w:r w:rsidRPr="00EF18A2">
        <w:rPr>
          <w:rFonts w:asciiTheme="minorHAnsi" w:eastAsiaTheme="minorHAnsi" w:hAnsiTheme="minorHAnsi" w:cstheme="minorHAnsi"/>
          <w:bCs/>
          <w:sz w:val="24"/>
          <w:szCs w:val="24"/>
          <w:lang w:eastAsia="en-US"/>
        </w:rPr>
        <w:t>SICAVu</w:t>
      </w:r>
      <w:proofErr w:type="spellEnd"/>
      <w:r w:rsidRPr="00EF18A2">
        <w:rPr>
          <w:rFonts w:asciiTheme="minorHAnsi" w:eastAsiaTheme="minorHAnsi" w:hAnsiTheme="minorHAnsi" w:cstheme="minorHAnsi"/>
          <w:bCs/>
          <w:sz w:val="24"/>
          <w:szCs w:val="24"/>
          <w:lang w:eastAsia="en-US"/>
        </w:rPr>
        <w:t xml:space="preserve"> ani nebude mít povinnost statut vyhotovovat, </w:t>
      </w:r>
      <w:proofErr w:type="gramStart"/>
      <w:r w:rsidRPr="00EF18A2">
        <w:rPr>
          <w:rFonts w:asciiTheme="minorHAnsi" w:eastAsiaTheme="minorHAnsi" w:hAnsiTheme="minorHAnsi" w:cstheme="minorHAnsi"/>
          <w:bCs/>
          <w:sz w:val="24"/>
          <w:szCs w:val="24"/>
          <w:lang w:eastAsia="en-US"/>
        </w:rPr>
        <w:t>postačí</w:t>
      </w:r>
      <w:proofErr w:type="gramEnd"/>
      <w:r w:rsidRPr="00EF18A2">
        <w:rPr>
          <w:rFonts w:asciiTheme="minorHAnsi" w:eastAsiaTheme="minorHAnsi" w:hAnsiTheme="minorHAnsi" w:cstheme="minorHAnsi"/>
          <w:bCs/>
          <w:sz w:val="24"/>
          <w:szCs w:val="24"/>
          <w:lang w:eastAsia="en-US"/>
        </w:rPr>
        <w:t xml:space="preserve"> pouze pro podfondy. Není tedy s čím kontrolovat soulad.</w:t>
      </w:r>
    </w:p>
    <w:p w14:paraId="6A04BF3E" w14:textId="77777777" w:rsidR="00EF18A2" w:rsidRPr="00EF18A2" w:rsidRDefault="00EF18A2" w:rsidP="00EF18A2">
      <w:pPr>
        <w:tabs>
          <w:tab w:val="left" w:pos="567"/>
        </w:tabs>
        <w:jc w:val="both"/>
        <w:rPr>
          <w:rFonts w:asciiTheme="minorHAnsi" w:eastAsiaTheme="minorHAnsi" w:hAnsiTheme="minorHAnsi" w:cstheme="minorHAnsi"/>
          <w:bCs/>
          <w:sz w:val="24"/>
          <w:szCs w:val="24"/>
          <w:lang w:eastAsia="en-US"/>
        </w:rPr>
      </w:pPr>
      <w:r w:rsidRPr="00EF18A2">
        <w:rPr>
          <w:rFonts w:asciiTheme="minorHAnsi" w:eastAsiaTheme="minorHAnsi" w:hAnsiTheme="minorHAnsi" w:cstheme="minorHAnsi"/>
          <w:bCs/>
          <w:sz w:val="24"/>
          <w:szCs w:val="24"/>
          <w:lang w:eastAsia="en-US"/>
        </w:rPr>
        <w:t xml:space="preserve">Z uvedeného je zřejmé, že zachování kontrol depozitáře pro investiční fondy je zbytečné a neposiluje ochranu investorů fondu/resp. jeho podfondů. </w:t>
      </w:r>
    </w:p>
    <w:p w14:paraId="5329A75B"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0006353D" w14:textId="77777777" w:rsidR="00EF18A2" w:rsidRPr="00EF18A2" w:rsidRDefault="00EF18A2" w:rsidP="00EF18A2">
      <w:pPr>
        <w:tabs>
          <w:tab w:val="left" w:pos="567"/>
        </w:tabs>
        <w:jc w:val="both"/>
        <w:rPr>
          <w:rFonts w:asciiTheme="minorHAnsi" w:eastAsiaTheme="minorHAnsi" w:hAnsiTheme="minorHAnsi" w:cstheme="minorHAnsi"/>
          <w:b/>
          <w:bCs/>
          <w:sz w:val="24"/>
          <w:szCs w:val="24"/>
          <w:lang w:eastAsia="en-US"/>
        </w:rPr>
      </w:pPr>
      <w:r w:rsidRPr="00EF18A2">
        <w:rPr>
          <w:rFonts w:asciiTheme="minorHAnsi" w:eastAsiaTheme="minorHAnsi" w:hAnsiTheme="minorHAnsi" w:cstheme="minorHAnsi"/>
          <w:b/>
          <w:bCs/>
          <w:sz w:val="24"/>
          <w:szCs w:val="24"/>
          <w:lang w:eastAsia="en-US"/>
        </w:rPr>
        <w:t xml:space="preserve">K § 82 odst. 2 </w:t>
      </w:r>
    </w:p>
    <w:p w14:paraId="09351D36" w14:textId="77777777" w:rsidR="00EF18A2" w:rsidRPr="00EF18A2" w:rsidRDefault="00EF18A2" w:rsidP="00EF18A2">
      <w:pPr>
        <w:tabs>
          <w:tab w:val="left" w:pos="567"/>
        </w:tabs>
        <w:jc w:val="both"/>
        <w:rPr>
          <w:rFonts w:asciiTheme="minorHAnsi" w:hAnsiTheme="minorHAnsi" w:cstheme="minorHAnsi"/>
          <w:color w:val="FF0000"/>
          <w:sz w:val="24"/>
          <w:szCs w:val="24"/>
          <w:lang w:eastAsia="en-GB"/>
        </w:rPr>
      </w:pPr>
      <w:r w:rsidRPr="00EF18A2">
        <w:rPr>
          <w:rFonts w:asciiTheme="minorHAnsi" w:hAnsiTheme="minorHAnsi" w:cstheme="minorHAnsi"/>
          <w:sz w:val="24"/>
          <w:szCs w:val="24"/>
        </w:rPr>
        <w:t xml:space="preserve">Připouští-li stanovy fondu kvalifikovaných investorů vytvoření podfondu, depozitář tohoto fondu vykonává činnost depozitáře </w:t>
      </w:r>
      <w:r w:rsidRPr="00EF18A2">
        <w:rPr>
          <w:rFonts w:asciiTheme="minorHAnsi" w:hAnsiTheme="minorHAnsi" w:cstheme="minorHAnsi"/>
          <w:b/>
          <w:bCs/>
          <w:sz w:val="24"/>
          <w:szCs w:val="24"/>
        </w:rPr>
        <w:t xml:space="preserve">pouze </w:t>
      </w:r>
      <w:r w:rsidRPr="00EF18A2">
        <w:rPr>
          <w:rFonts w:asciiTheme="minorHAnsi" w:hAnsiTheme="minorHAnsi" w:cstheme="minorHAnsi"/>
          <w:strike/>
          <w:sz w:val="24"/>
          <w:szCs w:val="24"/>
        </w:rPr>
        <w:t>i</w:t>
      </w:r>
      <w:r w:rsidRPr="00EF18A2">
        <w:rPr>
          <w:rFonts w:asciiTheme="minorHAnsi" w:hAnsiTheme="minorHAnsi" w:cstheme="minorHAnsi"/>
          <w:sz w:val="24"/>
          <w:szCs w:val="24"/>
        </w:rPr>
        <w:t xml:space="preserve"> pro tyto podfondy. </w:t>
      </w:r>
      <w:r w:rsidRPr="00EF18A2">
        <w:rPr>
          <w:rFonts w:asciiTheme="minorHAnsi" w:hAnsiTheme="minorHAnsi" w:cstheme="minorHAnsi"/>
          <w:b/>
          <w:bCs/>
          <w:sz w:val="24"/>
          <w:szCs w:val="24"/>
        </w:rPr>
        <w:t xml:space="preserve">V případě, že má fond kolektivního investování formu akciové společnosti s proměnným základním kapitálem, která </w:t>
      </w:r>
      <w:proofErr w:type="gramStart"/>
      <w:r w:rsidRPr="00EF18A2">
        <w:rPr>
          <w:rFonts w:asciiTheme="minorHAnsi" w:hAnsiTheme="minorHAnsi" w:cstheme="minorHAnsi"/>
          <w:b/>
          <w:bCs/>
          <w:sz w:val="24"/>
          <w:szCs w:val="24"/>
        </w:rPr>
        <w:t>nevytváří</w:t>
      </w:r>
      <w:proofErr w:type="gramEnd"/>
      <w:r w:rsidRPr="00EF18A2">
        <w:rPr>
          <w:rFonts w:asciiTheme="minorHAnsi" w:hAnsiTheme="minorHAnsi" w:cstheme="minorHAnsi"/>
          <w:b/>
          <w:bCs/>
          <w:sz w:val="24"/>
          <w:szCs w:val="24"/>
        </w:rPr>
        <w:t xml:space="preserve"> podfondy, a účetně a majetkově odděluje majetek a dluhy ze své investiční činnosti od svého ostatního jmění, vykonává depozitář svou činnost pouze vůči majetku a dluhům z investiční činnosti fondu. </w:t>
      </w:r>
    </w:p>
    <w:p w14:paraId="55AE4F00" w14:textId="77777777" w:rsidR="00EF18A2" w:rsidRPr="00EF18A2" w:rsidRDefault="00EF18A2" w:rsidP="00EF18A2">
      <w:pPr>
        <w:pStyle w:val="Odstavecseseznamem"/>
        <w:tabs>
          <w:tab w:val="left" w:pos="567"/>
        </w:tabs>
        <w:spacing w:after="0" w:line="240" w:lineRule="auto"/>
        <w:ind w:left="0"/>
        <w:jc w:val="both"/>
        <w:rPr>
          <w:rFonts w:asciiTheme="minorHAnsi" w:hAnsiTheme="minorHAnsi" w:cstheme="minorHAnsi"/>
          <w:sz w:val="24"/>
          <w:szCs w:val="24"/>
        </w:rPr>
      </w:pPr>
    </w:p>
    <w:p w14:paraId="1B1984D8" w14:textId="77777777" w:rsidR="00EF18A2" w:rsidRPr="00EF18A2" w:rsidRDefault="00EF18A2" w:rsidP="00EF18A2">
      <w:pPr>
        <w:pStyle w:val="Odstavecseseznamem"/>
        <w:tabs>
          <w:tab w:val="left" w:pos="567"/>
        </w:tabs>
        <w:spacing w:after="0" w:line="240" w:lineRule="auto"/>
        <w:ind w:left="0"/>
        <w:jc w:val="both"/>
        <w:rPr>
          <w:rFonts w:asciiTheme="minorHAnsi" w:hAnsiTheme="minorHAnsi" w:cstheme="minorHAnsi"/>
          <w:sz w:val="24"/>
          <w:szCs w:val="24"/>
          <w:u w:val="single"/>
        </w:rPr>
      </w:pPr>
      <w:r w:rsidRPr="00EF18A2">
        <w:rPr>
          <w:rFonts w:asciiTheme="minorHAnsi" w:hAnsiTheme="minorHAnsi" w:cstheme="minorHAnsi"/>
          <w:sz w:val="24"/>
          <w:szCs w:val="24"/>
          <w:u w:val="single"/>
        </w:rPr>
        <w:t xml:space="preserve">Odůvodnění: </w:t>
      </w:r>
    </w:p>
    <w:p w14:paraId="3D0A0B91" w14:textId="77777777" w:rsidR="00EF18A2" w:rsidRPr="00EF18A2" w:rsidRDefault="00EF18A2" w:rsidP="00EF18A2">
      <w:pPr>
        <w:jc w:val="both"/>
        <w:rPr>
          <w:rFonts w:asciiTheme="minorHAnsi" w:hAnsiTheme="minorHAnsi" w:cstheme="minorHAnsi"/>
          <w:sz w:val="24"/>
          <w:szCs w:val="24"/>
        </w:rPr>
      </w:pPr>
      <w:r w:rsidRPr="00EF18A2">
        <w:rPr>
          <w:rFonts w:asciiTheme="minorHAnsi" w:hAnsiTheme="minorHAnsi" w:cstheme="minorHAnsi"/>
          <w:sz w:val="24"/>
          <w:szCs w:val="24"/>
        </w:rPr>
        <w:t xml:space="preserve">Vzhledem k tomu, že z pohledu legislativy i podstaty </w:t>
      </w:r>
      <w:proofErr w:type="spellStart"/>
      <w:r w:rsidRPr="00EF18A2">
        <w:rPr>
          <w:rFonts w:asciiTheme="minorHAnsi" w:hAnsiTheme="minorHAnsi" w:cstheme="minorHAnsi"/>
          <w:sz w:val="24"/>
          <w:szCs w:val="24"/>
        </w:rPr>
        <w:t>depozitářského</w:t>
      </w:r>
      <w:proofErr w:type="spellEnd"/>
      <w:r w:rsidRPr="00EF18A2">
        <w:rPr>
          <w:rFonts w:asciiTheme="minorHAnsi" w:hAnsiTheme="minorHAnsi" w:cstheme="minorHAnsi"/>
          <w:sz w:val="24"/>
          <w:szCs w:val="24"/>
        </w:rPr>
        <w:t xml:space="preserve"> dohledu jsou zakladatelská a investiční část </w:t>
      </w:r>
      <w:proofErr w:type="spellStart"/>
      <w:r w:rsidRPr="00EF18A2">
        <w:rPr>
          <w:rFonts w:asciiTheme="minorHAnsi" w:hAnsiTheme="minorHAnsi" w:cstheme="minorHAnsi"/>
          <w:sz w:val="24"/>
          <w:szCs w:val="24"/>
        </w:rPr>
        <w:t>SICAVu</w:t>
      </w:r>
      <w:proofErr w:type="spellEnd"/>
      <w:r w:rsidRPr="00EF18A2">
        <w:rPr>
          <w:rFonts w:asciiTheme="minorHAnsi" w:hAnsiTheme="minorHAnsi" w:cstheme="minorHAnsi"/>
          <w:sz w:val="24"/>
          <w:szCs w:val="24"/>
        </w:rPr>
        <w:t xml:space="preserve"> považovány za dva samostatné subjekty, je pro účely zajištění ochrany zájmů investorů zcela postačující, pokud budou kontroly vykonávány pouze vůči investiční části. Část majetku vztahující se k zakladatelským akcím </w:t>
      </w:r>
      <w:proofErr w:type="gramStart"/>
      <w:r w:rsidRPr="00EF18A2">
        <w:rPr>
          <w:rFonts w:asciiTheme="minorHAnsi" w:hAnsiTheme="minorHAnsi" w:cstheme="minorHAnsi"/>
          <w:sz w:val="24"/>
          <w:szCs w:val="24"/>
        </w:rPr>
        <w:t>neslouží</w:t>
      </w:r>
      <w:proofErr w:type="gramEnd"/>
      <w:r w:rsidRPr="00EF18A2">
        <w:rPr>
          <w:rFonts w:asciiTheme="minorHAnsi" w:hAnsiTheme="minorHAnsi" w:cstheme="minorHAnsi"/>
          <w:sz w:val="24"/>
          <w:szCs w:val="24"/>
        </w:rPr>
        <w:t xml:space="preserve"> k výkonu kolektivního investování, slouží pouze k zajištění fungování fondu (často jde pouze o účet, na kterém leží složený zapisovaný základní kapitál fondu). Podstatou činnosti depozitáře je </w:t>
      </w:r>
      <w:r w:rsidRPr="00EF18A2">
        <w:rPr>
          <w:rFonts w:asciiTheme="minorHAnsi" w:hAnsiTheme="minorHAnsi" w:cstheme="minorHAnsi"/>
          <w:sz w:val="24"/>
          <w:szCs w:val="24"/>
        </w:rPr>
        <w:lastRenderedPageBreak/>
        <w:t xml:space="preserve">ochrana zájmů investorů (držitelů investičních akcií, či podílových listů), není proto zřejmé, jaké činnosti by měl podle návrhu zákonodárce depozitář vůči zakladatelské části kontrolovat. </w:t>
      </w:r>
    </w:p>
    <w:p w14:paraId="456A7CE3" w14:textId="77777777" w:rsidR="00EF18A2" w:rsidRPr="00EF18A2" w:rsidRDefault="00EF18A2" w:rsidP="00EF18A2">
      <w:pPr>
        <w:pBdr>
          <w:bottom w:val="single" w:sz="4" w:space="1" w:color="auto"/>
        </w:pBdr>
        <w:spacing w:line="276" w:lineRule="auto"/>
        <w:jc w:val="right"/>
        <w:rPr>
          <w:rFonts w:asciiTheme="minorHAnsi" w:eastAsia="Calibri" w:hAnsiTheme="minorHAnsi" w:cstheme="minorHAnsi"/>
          <w:sz w:val="24"/>
          <w:szCs w:val="24"/>
          <w:lang w:eastAsia="en-US"/>
        </w:rPr>
      </w:pPr>
      <w:r w:rsidRPr="00EF18A2">
        <w:rPr>
          <w:rFonts w:asciiTheme="minorHAnsi" w:eastAsia="Calibri" w:hAnsiTheme="minorHAnsi" w:cstheme="minorHAnsi"/>
          <w:sz w:val="24"/>
          <w:szCs w:val="24"/>
          <w:lang w:eastAsia="en-US"/>
        </w:rPr>
        <w:t xml:space="preserve">tato připomínka je doporučující </w:t>
      </w:r>
    </w:p>
    <w:p w14:paraId="2145E7AF" w14:textId="77777777" w:rsidR="00EF18A2" w:rsidRPr="00EF18A2" w:rsidRDefault="00EF18A2" w:rsidP="00EF18A2">
      <w:pPr>
        <w:spacing w:line="276" w:lineRule="auto"/>
        <w:ind w:left="284"/>
        <w:contextualSpacing/>
        <w:jc w:val="both"/>
        <w:rPr>
          <w:rFonts w:asciiTheme="minorHAnsi" w:eastAsiaTheme="minorEastAsia" w:hAnsiTheme="minorHAnsi" w:cstheme="minorHAnsi"/>
          <w:b/>
          <w:sz w:val="24"/>
          <w:szCs w:val="24"/>
        </w:rPr>
      </w:pPr>
    </w:p>
    <w:p w14:paraId="36AE0698" w14:textId="77777777" w:rsidR="00EF18A2" w:rsidRDefault="00EF18A2" w:rsidP="00C50846">
      <w:pPr>
        <w:widowControl w:val="0"/>
        <w:autoSpaceDE w:val="0"/>
        <w:autoSpaceDN w:val="0"/>
        <w:adjustRightInd w:val="0"/>
        <w:jc w:val="both"/>
        <w:rPr>
          <w:rFonts w:asciiTheme="minorHAnsi" w:hAnsiTheme="minorHAnsi" w:cstheme="minorHAnsi"/>
          <w:sz w:val="24"/>
          <w:szCs w:val="24"/>
          <w:u w:val="single"/>
        </w:rPr>
      </w:pPr>
    </w:p>
    <w:p w14:paraId="4771BF7F" w14:textId="088A24AF" w:rsidR="00116A85" w:rsidRPr="00EF18A2" w:rsidRDefault="001932EA" w:rsidP="00C50846">
      <w:pPr>
        <w:widowControl w:val="0"/>
        <w:autoSpaceDE w:val="0"/>
        <w:autoSpaceDN w:val="0"/>
        <w:adjustRightInd w:val="0"/>
        <w:jc w:val="both"/>
        <w:rPr>
          <w:rFonts w:asciiTheme="minorHAnsi" w:hAnsiTheme="minorHAnsi" w:cstheme="minorHAnsi"/>
          <w:sz w:val="24"/>
          <w:szCs w:val="24"/>
          <w:u w:val="single"/>
        </w:rPr>
      </w:pPr>
      <w:r w:rsidRPr="00EF18A2">
        <w:rPr>
          <w:rFonts w:asciiTheme="minorHAnsi" w:hAnsiTheme="minorHAnsi" w:cstheme="minorHAnsi"/>
          <w:sz w:val="24"/>
          <w:szCs w:val="24"/>
          <w:u w:val="single"/>
        </w:rPr>
        <w:t>K</w:t>
      </w:r>
      <w:r w:rsidR="00116A85" w:rsidRPr="00EF18A2">
        <w:rPr>
          <w:rFonts w:asciiTheme="minorHAnsi" w:hAnsiTheme="minorHAnsi" w:cstheme="minorHAnsi"/>
          <w:sz w:val="24"/>
          <w:szCs w:val="24"/>
          <w:u w:val="single"/>
        </w:rPr>
        <w:t>ontaktní osob</w:t>
      </w:r>
      <w:r w:rsidR="00C02026" w:rsidRPr="00EF18A2">
        <w:rPr>
          <w:rFonts w:asciiTheme="minorHAnsi" w:hAnsiTheme="minorHAnsi" w:cstheme="minorHAnsi"/>
          <w:sz w:val="24"/>
          <w:szCs w:val="24"/>
          <w:u w:val="single"/>
        </w:rPr>
        <w:t>y</w:t>
      </w:r>
      <w:r w:rsidR="00116A85" w:rsidRPr="00EF18A2">
        <w:rPr>
          <w:rFonts w:asciiTheme="minorHAnsi" w:hAnsiTheme="minorHAnsi" w:cstheme="minorHAnsi"/>
          <w:sz w:val="24"/>
          <w:szCs w:val="24"/>
          <w:u w:val="single"/>
        </w:rPr>
        <w:t>:</w:t>
      </w:r>
    </w:p>
    <w:p w14:paraId="707EFB56" w14:textId="77777777" w:rsidR="00090C74" w:rsidRPr="00EF18A2" w:rsidRDefault="00090C74" w:rsidP="009846A5">
      <w:pPr>
        <w:shd w:val="clear" w:color="auto" w:fill="FFFFFF"/>
        <w:jc w:val="both"/>
        <w:rPr>
          <w:rFonts w:asciiTheme="minorHAnsi" w:hAnsiTheme="minorHAnsi" w:cstheme="minorHAnsi"/>
          <w:bCs/>
          <w:color w:val="000000" w:themeColor="text1"/>
          <w:sz w:val="24"/>
          <w:szCs w:val="24"/>
        </w:rPr>
      </w:pPr>
    </w:p>
    <w:p w14:paraId="2368E6D4" w14:textId="4A09AEAD" w:rsidR="009846A5" w:rsidRPr="00EF18A2" w:rsidRDefault="009846A5" w:rsidP="009846A5">
      <w:pPr>
        <w:shd w:val="clear" w:color="auto" w:fill="FFFFFF"/>
        <w:jc w:val="both"/>
        <w:rPr>
          <w:rFonts w:asciiTheme="minorHAnsi" w:hAnsiTheme="minorHAnsi" w:cstheme="minorHAnsi"/>
          <w:bCs/>
          <w:color w:val="000000" w:themeColor="text1"/>
          <w:sz w:val="24"/>
          <w:szCs w:val="24"/>
        </w:rPr>
      </w:pPr>
      <w:r w:rsidRPr="00EF18A2">
        <w:rPr>
          <w:rFonts w:asciiTheme="minorHAnsi" w:hAnsiTheme="minorHAnsi" w:cstheme="minorHAnsi"/>
          <w:bCs/>
          <w:color w:val="000000" w:themeColor="text1"/>
          <w:sz w:val="24"/>
          <w:szCs w:val="24"/>
        </w:rPr>
        <w:t>Mgr. Jakub Machytka</w:t>
      </w:r>
      <w:r w:rsidRPr="00EF18A2">
        <w:rPr>
          <w:rFonts w:asciiTheme="minorHAnsi" w:hAnsiTheme="minorHAnsi" w:cstheme="minorHAnsi"/>
          <w:bCs/>
          <w:color w:val="000000" w:themeColor="text1"/>
          <w:sz w:val="24"/>
          <w:szCs w:val="24"/>
        </w:rPr>
        <w:tab/>
      </w:r>
      <w:r w:rsidRPr="00EF18A2">
        <w:rPr>
          <w:rFonts w:asciiTheme="minorHAnsi" w:hAnsiTheme="minorHAnsi" w:cstheme="minorHAnsi"/>
          <w:bCs/>
          <w:color w:val="000000" w:themeColor="text1"/>
          <w:sz w:val="24"/>
          <w:szCs w:val="24"/>
        </w:rPr>
        <w:tab/>
      </w:r>
      <w:r w:rsidRPr="00EF18A2">
        <w:rPr>
          <w:rFonts w:asciiTheme="minorHAnsi" w:hAnsiTheme="minorHAnsi" w:cstheme="minorHAnsi"/>
          <w:bCs/>
          <w:color w:val="000000" w:themeColor="text1"/>
          <w:sz w:val="24"/>
          <w:szCs w:val="24"/>
        </w:rPr>
        <w:tab/>
        <w:t xml:space="preserve">e-mail: </w:t>
      </w:r>
      <w:hyperlink r:id="rId11" w:history="1">
        <w:r w:rsidRPr="00EF18A2">
          <w:rPr>
            <w:rStyle w:val="Hypertextovodkaz"/>
            <w:rFonts w:asciiTheme="minorHAnsi" w:hAnsiTheme="minorHAnsi" w:cstheme="minorHAnsi"/>
            <w:bCs/>
            <w:sz w:val="24"/>
            <w:szCs w:val="24"/>
          </w:rPr>
          <w:t>jakub.machytka@uzs.cz</w:t>
        </w:r>
      </w:hyperlink>
      <w:r w:rsidRPr="00EF18A2">
        <w:rPr>
          <w:rFonts w:asciiTheme="minorHAnsi" w:hAnsiTheme="minorHAnsi" w:cstheme="minorHAnsi"/>
          <w:bCs/>
          <w:color w:val="000000" w:themeColor="text1"/>
          <w:sz w:val="24"/>
          <w:szCs w:val="24"/>
        </w:rPr>
        <w:tab/>
        <w:t>tel:</w:t>
      </w:r>
      <w:r w:rsidRPr="00EF18A2">
        <w:rPr>
          <w:rFonts w:asciiTheme="minorHAnsi" w:hAnsiTheme="minorHAnsi" w:cstheme="minorHAnsi"/>
          <w:bCs/>
          <w:color w:val="000000" w:themeColor="text1"/>
          <w:sz w:val="24"/>
          <w:szCs w:val="24"/>
        </w:rPr>
        <w:tab/>
        <w:t>727 956 059</w:t>
      </w:r>
    </w:p>
    <w:p w14:paraId="6AA718CE" w14:textId="254794FE" w:rsidR="00116A85" w:rsidRPr="00EF18A2" w:rsidRDefault="00B17C0F" w:rsidP="00C50846">
      <w:pPr>
        <w:pStyle w:val="indent"/>
        <w:shd w:val="clear" w:color="auto" w:fill="FFFFFF"/>
        <w:spacing w:before="0" w:after="0"/>
        <w:ind w:firstLine="0"/>
        <w:textAlignment w:val="top"/>
        <w:rPr>
          <w:rFonts w:asciiTheme="minorHAnsi" w:hAnsiTheme="minorHAnsi" w:cstheme="minorHAnsi"/>
        </w:rPr>
      </w:pPr>
      <w:r w:rsidRPr="00EF18A2">
        <w:rPr>
          <w:rFonts w:asciiTheme="minorHAnsi" w:hAnsiTheme="minorHAnsi" w:cstheme="minorHAnsi"/>
        </w:rPr>
        <w:t>Dr.</w:t>
      </w:r>
      <w:r w:rsidR="00116A85" w:rsidRPr="00EF18A2">
        <w:rPr>
          <w:rFonts w:asciiTheme="minorHAnsi" w:hAnsiTheme="minorHAnsi" w:cstheme="minorHAnsi"/>
        </w:rPr>
        <w:t xml:space="preserve"> Jan Zikeš</w:t>
      </w:r>
      <w:r w:rsidR="00C02026" w:rsidRPr="00EF18A2">
        <w:rPr>
          <w:rFonts w:asciiTheme="minorHAnsi" w:hAnsiTheme="minorHAnsi" w:cstheme="minorHAnsi"/>
        </w:rPr>
        <w:tab/>
      </w:r>
      <w:r w:rsidR="00C02026" w:rsidRPr="00EF18A2">
        <w:rPr>
          <w:rFonts w:asciiTheme="minorHAnsi" w:hAnsiTheme="minorHAnsi" w:cstheme="minorHAnsi"/>
        </w:rPr>
        <w:tab/>
      </w:r>
      <w:r w:rsidR="007D6A55" w:rsidRPr="00EF18A2">
        <w:rPr>
          <w:rFonts w:asciiTheme="minorHAnsi" w:hAnsiTheme="minorHAnsi" w:cstheme="minorHAnsi"/>
        </w:rPr>
        <w:tab/>
      </w:r>
      <w:r w:rsidR="00F52BC5" w:rsidRPr="00EF18A2">
        <w:rPr>
          <w:rFonts w:asciiTheme="minorHAnsi" w:hAnsiTheme="minorHAnsi" w:cstheme="minorHAnsi"/>
        </w:rPr>
        <w:tab/>
      </w:r>
      <w:r w:rsidR="00116A85" w:rsidRPr="00EF18A2">
        <w:rPr>
          <w:rFonts w:asciiTheme="minorHAnsi" w:hAnsiTheme="minorHAnsi" w:cstheme="minorHAnsi"/>
        </w:rPr>
        <w:t>e</w:t>
      </w:r>
      <w:r w:rsidR="001932EA" w:rsidRPr="00EF18A2">
        <w:rPr>
          <w:rFonts w:asciiTheme="minorHAnsi" w:hAnsiTheme="minorHAnsi" w:cstheme="minorHAnsi"/>
        </w:rPr>
        <w:t>-</w:t>
      </w:r>
      <w:r w:rsidR="00116A85" w:rsidRPr="00EF18A2">
        <w:rPr>
          <w:rFonts w:asciiTheme="minorHAnsi" w:hAnsiTheme="minorHAnsi" w:cstheme="minorHAnsi"/>
        </w:rPr>
        <w:t>mail:</w:t>
      </w:r>
      <w:r w:rsidR="00B62EFD" w:rsidRPr="00EF18A2">
        <w:rPr>
          <w:rFonts w:asciiTheme="minorHAnsi" w:hAnsiTheme="minorHAnsi" w:cstheme="minorHAnsi"/>
        </w:rPr>
        <w:tab/>
      </w:r>
      <w:hyperlink r:id="rId12" w:history="1">
        <w:r w:rsidR="00116A85" w:rsidRPr="00EF18A2">
          <w:rPr>
            <w:rStyle w:val="Hypertextovodkaz"/>
            <w:rFonts w:asciiTheme="minorHAnsi" w:hAnsiTheme="minorHAnsi" w:cstheme="minorHAnsi"/>
          </w:rPr>
          <w:t>zikes@kzps.cz</w:t>
        </w:r>
      </w:hyperlink>
      <w:r w:rsidR="00C02026" w:rsidRPr="00EF18A2">
        <w:rPr>
          <w:rFonts w:asciiTheme="minorHAnsi" w:hAnsiTheme="minorHAnsi" w:cstheme="minorHAnsi"/>
        </w:rPr>
        <w:tab/>
      </w:r>
      <w:r w:rsidR="00C02026" w:rsidRPr="00EF18A2">
        <w:rPr>
          <w:rFonts w:asciiTheme="minorHAnsi" w:hAnsiTheme="minorHAnsi" w:cstheme="minorHAnsi"/>
        </w:rPr>
        <w:tab/>
      </w:r>
      <w:r w:rsidR="00680FD8" w:rsidRPr="00EF18A2">
        <w:rPr>
          <w:rFonts w:asciiTheme="minorHAnsi" w:hAnsiTheme="minorHAnsi" w:cstheme="minorHAnsi"/>
        </w:rPr>
        <w:tab/>
      </w:r>
      <w:r w:rsidR="00116A85" w:rsidRPr="00EF18A2">
        <w:rPr>
          <w:rFonts w:asciiTheme="minorHAnsi" w:hAnsiTheme="minorHAnsi" w:cstheme="minorHAnsi"/>
        </w:rPr>
        <w:t>tel:</w:t>
      </w:r>
      <w:r w:rsidR="00D442C1" w:rsidRPr="00EF18A2">
        <w:rPr>
          <w:rFonts w:asciiTheme="minorHAnsi" w:hAnsiTheme="minorHAnsi" w:cstheme="minorHAnsi"/>
        </w:rPr>
        <w:tab/>
      </w:r>
      <w:r w:rsidR="00C02026" w:rsidRPr="00EF18A2">
        <w:rPr>
          <w:rFonts w:asciiTheme="minorHAnsi" w:hAnsiTheme="minorHAnsi" w:cstheme="minorHAnsi"/>
        </w:rPr>
        <w:t>222 324</w:t>
      </w:r>
      <w:r w:rsidR="00EF18A2">
        <w:rPr>
          <w:rFonts w:asciiTheme="minorHAnsi" w:hAnsiTheme="minorHAnsi" w:cstheme="minorHAnsi"/>
        </w:rPr>
        <w:t> </w:t>
      </w:r>
      <w:r w:rsidR="00C02026" w:rsidRPr="00EF18A2">
        <w:rPr>
          <w:rFonts w:asciiTheme="minorHAnsi" w:hAnsiTheme="minorHAnsi" w:cstheme="minorHAnsi"/>
        </w:rPr>
        <w:t>985</w:t>
      </w:r>
    </w:p>
    <w:p w14:paraId="23122064" w14:textId="45402924" w:rsidR="002234F6" w:rsidRDefault="002234F6" w:rsidP="00C50846">
      <w:pPr>
        <w:jc w:val="both"/>
        <w:rPr>
          <w:rFonts w:asciiTheme="minorHAnsi" w:hAnsiTheme="minorHAnsi" w:cstheme="minorHAnsi"/>
          <w:sz w:val="24"/>
          <w:szCs w:val="24"/>
        </w:rPr>
      </w:pPr>
    </w:p>
    <w:p w14:paraId="116DA69F" w14:textId="77777777" w:rsidR="00EF18A2" w:rsidRDefault="00EF18A2" w:rsidP="00C50846">
      <w:pPr>
        <w:jc w:val="both"/>
        <w:rPr>
          <w:rFonts w:asciiTheme="minorHAnsi" w:hAnsiTheme="minorHAnsi" w:cstheme="minorHAnsi"/>
          <w:sz w:val="24"/>
          <w:szCs w:val="24"/>
        </w:rPr>
      </w:pPr>
    </w:p>
    <w:p w14:paraId="5F6C3DF1" w14:textId="77777777" w:rsidR="00EF18A2" w:rsidRPr="00EF18A2" w:rsidRDefault="00EF18A2" w:rsidP="00C50846">
      <w:pPr>
        <w:jc w:val="both"/>
        <w:rPr>
          <w:rFonts w:asciiTheme="minorHAnsi" w:hAnsiTheme="minorHAnsi" w:cstheme="minorHAnsi"/>
          <w:sz w:val="24"/>
          <w:szCs w:val="24"/>
        </w:rPr>
      </w:pPr>
    </w:p>
    <w:p w14:paraId="66FB6E07" w14:textId="11B906C5" w:rsidR="00FD1397" w:rsidRDefault="009A436D" w:rsidP="00CA3EA4">
      <w:pPr>
        <w:jc w:val="both"/>
        <w:rPr>
          <w:rFonts w:asciiTheme="minorHAnsi" w:hAnsiTheme="minorHAnsi" w:cstheme="minorHAnsi"/>
          <w:sz w:val="24"/>
          <w:szCs w:val="24"/>
        </w:rPr>
      </w:pPr>
      <w:r w:rsidRPr="00EF18A2">
        <w:rPr>
          <w:rFonts w:asciiTheme="minorHAnsi" w:hAnsiTheme="minorHAnsi" w:cstheme="minorHAnsi"/>
          <w:sz w:val="24"/>
          <w:szCs w:val="24"/>
        </w:rPr>
        <w:t>V Praze dne</w:t>
      </w:r>
      <w:r w:rsidR="00E140D6" w:rsidRPr="00EF18A2">
        <w:rPr>
          <w:rFonts w:asciiTheme="minorHAnsi" w:hAnsiTheme="minorHAnsi" w:cstheme="minorHAnsi"/>
          <w:sz w:val="24"/>
          <w:szCs w:val="24"/>
        </w:rPr>
        <w:t xml:space="preserve"> </w:t>
      </w:r>
      <w:r w:rsidR="00EF18A2">
        <w:rPr>
          <w:rFonts w:asciiTheme="minorHAnsi" w:hAnsiTheme="minorHAnsi" w:cstheme="minorHAnsi"/>
          <w:sz w:val="24"/>
          <w:szCs w:val="24"/>
        </w:rPr>
        <w:t>21</w:t>
      </w:r>
      <w:r w:rsidR="00453A39">
        <w:rPr>
          <w:rFonts w:asciiTheme="minorHAnsi" w:hAnsiTheme="minorHAnsi" w:cstheme="minorHAnsi"/>
          <w:sz w:val="24"/>
          <w:szCs w:val="24"/>
        </w:rPr>
        <w:t>. června</w:t>
      </w:r>
      <w:r w:rsidR="00CF3AB9" w:rsidRPr="00EF18A2">
        <w:rPr>
          <w:rFonts w:asciiTheme="minorHAnsi" w:hAnsiTheme="minorHAnsi" w:cstheme="minorHAnsi"/>
          <w:sz w:val="24"/>
          <w:szCs w:val="24"/>
        </w:rPr>
        <w:t xml:space="preserve"> 2023</w:t>
      </w:r>
    </w:p>
    <w:p w14:paraId="3F631691" w14:textId="77777777" w:rsidR="00453A39" w:rsidRDefault="00453A39" w:rsidP="00CA3EA4">
      <w:pPr>
        <w:jc w:val="both"/>
        <w:rPr>
          <w:rFonts w:asciiTheme="minorHAnsi" w:hAnsiTheme="minorHAnsi" w:cstheme="minorHAnsi"/>
          <w:sz w:val="24"/>
          <w:szCs w:val="24"/>
        </w:rPr>
      </w:pPr>
    </w:p>
    <w:p w14:paraId="70C0C2F5" w14:textId="77777777" w:rsidR="00453A39" w:rsidRPr="00EF18A2" w:rsidRDefault="00453A39" w:rsidP="00CA3EA4">
      <w:pPr>
        <w:jc w:val="both"/>
        <w:rPr>
          <w:rFonts w:asciiTheme="minorHAnsi" w:hAnsiTheme="minorHAnsi" w:cstheme="minorHAnsi"/>
          <w:sz w:val="24"/>
          <w:szCs w:val="24"/>
        </w:rPr>
      </w:pPr>
    </w:p>
    <w:p w14:paraId="6A3D797D" w14:textId="536A90FE" w:rsidR="009846A5" w:rsidRPr="00EF18A2" w:rsidRDefault="009846A5" w:rsidP="00CA3EA4">
      <w:pPr>
        <w:jc w:val="both"/>
        <w:rPr>
          <w:rFonts w:asciiTheme="minorHAnsi" w:hAnsiTheme="minorHAnsi" w:cstheme="minorHAnsi"/>
          <w:sz w:val="24"/>
          <w:szCs w:val="24"/>
        </w:rPr>
      </w:pPr>
    </w:p>
    <w:p w14:paraId="56B8F675" w14:textId="686D61F4" w:rsidR="006266A6" w:rsidRPr="00EF18A2" w:rsidRDefault="00BF1917" w:rsidP="00CA3EA4">
      <w:pPr>
        <w:rPr>
          <w:rFonts w:asciiTheme="minorHAnsi" w:hAnsiTheme="minorHAnsi" w:cstheme="minorHAnsi"/>
          <w:b/>
          <w:sz w:val="24"/>
          <w:szCs w:val="24"/>
        </w:rPr>
      </w:pPr>
      <w:r w:rsidRPr="00EF18A2">
        <w:rPr>
          <w:rFonts w:asciiTheme="minorHAnsi" w:hAnsiTheme="minorHAnsi" w:cstheme="minorHAnsi"/>
          <w:sz w:val="24"/>
          <w:szCs w:val="24"/>
        </w:rPr>
        <w:t xml:space="preserve"> </w:t>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E825FB" w:rsidRPr="00EF18A2">
        <w:rPr>
          <w:rFonts w:asciiTheme="minorHAnsi" w:hAnsiTheme="minorHAnsi" w:cstheme="minorHAnsi"/>
          <w:sz w:val="24"/>
          <w:szCs w:val="24"/>
        </w:rPr>
        <w:tab/>
      </w:r>
      <w:r w:rsidR="002A28AB" w:rsidRPr="00EF18A2">
        <w:rPr>
          <w:rFonts w:asciiTheme="minorHAnsi" w:hAnsiTheme="minorHAnsi" w:cstheme="minorHAnsi"/>
          <w:sz w:val="24"/>
          <w:szCs w:val="24"/>
        </w:rPr>
        <w:tab/>
      </w:r>
      <w:r w:rsidR="002A28AB" w:rsidRPr="00EF18A2">
        <w:rPr>
          <w:rFonts w:asciiTheme="minorHAnsi" w:hAnsiTheme="minorHAnsi" w:cstheme="minorHAnsi"/>
          <w:b/>
          <w:sz w:val="24"/>
          <w:szCs w:val="24"/>
        </w:rPr>
        <w:t xml:space="preserve">        </w:t>
      </w:r>
      <w:r w:rsidR="00F645E4" w:rsidRPr="00EF18A2">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6"/>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3A3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18A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Dot pt,Indicator Text,LISTA,List Paragraph1"/>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29187185">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1309</Words>
  <Characters>8155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9446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29</cp:revision>
  <cp:lastPrinted>2016-10-12T10:41:00Z</cp:lastPrinted>
  <dcterms:created xsi:type="dcterms:W3CDTF">2020-07-21T13:09:00Z</dcterms:created>
  <dcterms:modified xsi:type="dcterms:W3CDTF">2023-06-21T09:10:00Z</dcterms:modified>
</cp:coreProperties>
</file>