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703767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3767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703767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703767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EF953E0" w:rsidR="00D442C1" w:rsidRPr="00703767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3767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703767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70376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F1A47" w:rsidRPr="00703767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Dopravní sektorové strategi</w:t>
      </w:r>
      <w:r w:rsidR="00703767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i</w:t>
      </w:r>
      <w:r w:rsidR="00FF1A47" w:rsidRPr="00703767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3. fáze - Střednědobý plán údržby, rozvoje a financování dopravní infrastruktury pro období 2024 – 2033 s výhledem do roku 2050</w:t>
      </w:r>
      <w:r w:rsidR="00D21B8B" w:rsidRPr="00703767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703767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961780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61780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961780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961780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961780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D3DAE" w14:textId="77777777" w:rsidR="00703767" w:rsidRDefault="00703767" w:rsidP="00961780">
      <w:pPr>
        <w:spacing w:after="160" w:line="256" w:lineRule="auto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</w:p>
    <w:p w14:paraId="038DD944" w14:textId="3A59627C" w:rsidR="00961780" w:rsidRPr="00961780" w:rsidRDefault="00961780" w:rsidP="00961780">
      <w:pPr>
        <w:spacing w:after="160" w:line="256" w:lineRule="auto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K předloženému materiálu uplatňuje </w:t>
      </w:r>
      <w:r w:rsidR="00703767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KZPS ČR / </w:t>
      </w:r>
      <w:r w:rsidRPr="00961780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>SPS tyto připomínky:</w:t>
      </w:r>
    </w:p>
    <w:p w14:paraId="73D4B8CD" w14:textId="77777777" w:rsidR="00961780" w:rsidRPr="00961780" w:rsidRDefault="00961780" w:rsidP="00961780">
      <w:pPr>
        <w:numPr>
          <w:ilvl w:val="0"/>
          <w:numId w:val="17"/>
        </w:numPr>
        <w:spacing w:line="256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Myšlenka klastrů se nám nejeví jako vhodná, ztrácí se v tom hlavní myšlenky a zásady dokončení dálniční sítě, obchvatů a propojení krajských měst  a co se týká hlavních priorit tak je velmi nepřehledná.</w:t>
      </w:r>
    </w:p>
    <w:p w14:paraId="42C28C08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Např. když hledáme D55 jako spojnici sever a jih Moravy mezi Olomoucí a Břeclaví, tak se musí prohlížet dva klastry a v některých ohledech i více. Pokud k tomu připojíme sever kraje vč olomouckého vč. Jesenicka tak je velmi složité tyto informace seřadit a vyhodnotit.</w:t>
      </w:r>
    </w:p>
    <w:p w14:paraId="3C82D69D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Přitom je hodnocení klastrů podkladem pro financování.</w:t>
      </w:r>
    </w:p>
    <w:p w14:paraId="0270185C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Varianty realizace  nakonec vše dokonale zneprůhledňují a navíc se do konkrétnosti údajů např. v mezi soubory K6T123  k 10T2 úplně nesouhlasí.</w:t>
      </w:r>
    </w:p>
    <w:p w14:paraId="2163344D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14:paraId="75DA2E43" w14:textId="77777777" w:rsidR="00961780" w:rsidRPr="00961780" w:rsidRDefault="00961780" w:rsidP="00961780">
      <w:pPr>
        <w:numPr>
          <w:ilvl w:val="0"/>
          <w:numId w:val="17"/>
        </w:numPr>
        <w:spacing w:line="256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Proponovaná potřeba  prostředků 218mld ročně a celková suma mezi lety 2024-2033 ve výši 3,2bil.Kč ukazuje na potřebu řešení i mimo proponované varianty, popř. bude potřeba bez ohledu na klastry vybrat  nejdůležitější projekty  a ty realizovat ve vazbě na existující finanční zdroje.</w:t>
      </w:r>
    </w:p>
    <w:p w14:paraId="4E2DAB56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14:paraId="4912EAC4" w14:textId="77777777" w:rsidR="00961780" w:rsidRPr="00961780" w:rsidRDefault="00961780" w:rsidP="00961780">
      <w:pPr>
        <w:numPr>
          <w:ilvl w:val="0"/>
          <w:numId w:val="17"/>
        </w:numPr>
        <w:spacing w:line="256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Malá zmínka je v materiálu o materiálových zdrojích. Přitom se to stává limitujícím prvkem výstavby, a myslím, že ani dovoz za výrazně vyšší ceny tento problém nemůže vyřešit. Tento dokument by si zasloužil  dát větší důraz na tento problém a měl by důrazně popsat důvody této situace a  podtrhnout nutná opatření, vč. legislativních.</w:t>
      </w:r>
    </w:p>
    <w:p w14:paraId="75C549F3" w14:textId="77777777" w:rsidR="00961780" w:rsidRPr="00961780" w:rsidRDefault="00961780" w:rsidP="00961780">
      <w:pPr>
        <w:spacing w:line="256" w:lineRule="auto"/>
        <w:ind w:left="720"/>
        <w:contextualSpacing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14:paraId="673857D3" w14:textId="77777777" w:rsidR="00961780" w:rsidRPr="00961780" w:rsidRDefault="00961780" w:rsidP="00961780">
      <w:pPr>
        <w:numPr>
          <w:ilvl w:val="0"/>
          <w:numId w:val="17"/>
        </w:numPr>
        <w:spacing w:line="256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Zatím bez zásadního  řešení je i o podfinancování silnic II. a III.tříd, čekal bychom, že v tomto dokumentu  bude řešení situace navrženo  alespoň ve variantách jak postupně a s jakými potřebami řešit tuto situaci v čase.</w:t>
      </w:r>
    </w:p>
    <w:p w14:paraId="778E3308" w14:textId="77777777" w:rsidR="00961780" w:rsidRPr="00961780" w:rsidRDefault="00961780" w:rsidP="00961780">
      <w:pPr>
        <w:spacing w:line="256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14:paraId="2548C400" w14:textId="77777777" w:rsidR="00961780" w:rsidRPr="00961780" w:rsidRDefault="00961780" w:rsidP="00961780">
      <w:pPr>
        <w:numPr>
          <w:ilvl w:val="0"/>
          <w:numId w:val="17"/>
        </w:numPr>
        <w:spacing w:before="100" w:beforeAutospacing="1" w:after="100" w:afterAutospacing="1" w:line="256" w:lineRule="auto"/>
        <w:contextualSpacing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lastRenderedPageBreak/>
        <w:t>Velká většina staveb má být realizována a financována prostřednictvím PPP. Domnívám se, že to je dosti problematické, neboť PPP je rovněž formou půjčky (a ne úplně levnou). </w:t>
      </w:r>
    </w:p>
    <w:p w14:paraId="739404D8" w14:textId="77777777" w:rsidR="00961780" w:rsidRPr="00961780" w:rsidRDefault="00961780" w:rsidP="00961780">
      <w:pPr>
        <w:spacing w:line="256" w:lineRule="auto"/>
        <w:ind w:left="720"/>
        <w:contextualSpacing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</w:p>
    <w:p w14:paraId="38B282F4" w14:textId="77777777" w:rsidR="00961780" w:rsidRPr="00961780" w:rsidRDefault="00961780" w:rsidP="00961780">
      <w:pPr>
        <w:numPr>
          <w:ilvl w:val="0"/>
          <w:numId w:val="17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  <w:t>Poměrně zásadním problémem u</w:t>
      </w: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t xml:space="preserve"> PPP projektů na dálniční stavby je skutečnost, že se nikdo nezabýval vazbou na ESG, přičemž banky (v čele s EIB) mají stavby silnic a dálnic zařazeny do kategorie „špinavých staveb“. A tudíž sehnat úvěry na tento typ projektů, bude pro uchazeče (zhotovitele) velmi obtížné a pokud ano, tak za značně zhoršené finanční možnosti. Toto </w:t>
      </w:r>
      <w:r w:rsidRPr="00961780">
        <w:rPr>
          <w:rFonts w:asciiTheme="minorHAnsi" w:hAnsiTheme="minorHAnsi" w:cstheme="minorHAnsi"/>
          <w:color w:val="242424"/>
          <w:kern w:val="2"/>
          <w:sz w:val="24"/>
          <w:szCs w:val="24"/>
          <w:bdr w:val="none" w:sz="0" w:space="0" w:color="auto" w:frame="1"/>
          <w:lang w:eastAsia="en-US"/>
        </w:rPr>
        <w:t>bude jistě velmi ovlivňovat i finanční výpočty (prodražení) PPP projektů (pouze silničních a dálničních, nikoliv železničních).</w:t>
      </w:r>
    </w:p>
    <w:p w14:paraId="3356A036" w14:textId="77777777" w:rsidR="00961780" w:rsidRPr="00961780" w:rsidRDefault="00961780" w:rsidP="00961780">
      <w:pPr>
        <w:spacing w:before="100" w:beforeAutospacing="1" w:after="100" w:afterAutospacing="1" w:line="256" w:lineRule="auto"/>
        <w:ind w:left="720"/>
        <w:contextualSpacing/>
        <w:jc w:val="both"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t xml:space="preserve">V této souvislosti je rovněž nutné připomenout, že tohoto způsobu realizace se může zúčastnit jen omezený počet stavebních firem, což může vést k nárůstu cen s ohledem na snížení počtu uchazečů v těchto zakázkách a následně i na negativní dopad na středně velké a střední stavební firmy.  </w:t>
      </w:r>
    </w:p>
    <w:p w14:paraId="1D4CFBBB" w14:textId="77777777" w:rsidR="00961780" w:rsidRPr="00961780" w:rsidRDefault="00961780" w:rsidP="00961780">
      <w:pPr>
        <w:spacing w:after="160" w:line="256" w:lineRule="auto"/>
        <w:ind w:left="720"/>
        <w:jc w:val="both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US"/>
        </w:rPr>
        <w:t>Kromě toho ještě připomínáme, že pokud by došlo k tendrování všech, v Dopravní sektorové strategii v 3. fázi, PPP projektů uvedených v navržených termínech (což je v některých případech v poměrně krátkém časovém sledu za sebou, pak s velkou pravděpodobností lze očekávat jen minimum nabídek v každé soutěži. Je třeba připomenout, že příprava těchto nabídek je časově, personálně, ale i finančně velice nákladná a nedovedu si představit, že by některá z firem na českém trhu byla schopna podat nabídku na všechny výše navrhované projekty, tím méně pokud by opravdu byly soutěženy krátkým časovým odstupem. Každé nabízející konsorcium potřebuje své finanční a právní poradce a také projektanta, vše na bázi exkluzivní spolupráce – i zde tak může vzniknout nedostatek kapacit.  </w:t>
      </w:r>
    </w:p>
    <w:p w14:paraId="2D61ECAF" w14:textId="77777777" w:rsidR="00961780" w:rsidRPr="00961780" w:rsidRDefault="00961780" w:rsidP="00961780">
      <w:pPr>
        <w:spacing w:before="100" w:beforeAutospacing="1" w:after="100" w:afterAutospacing="1" w:line="256" w:lineRule="auto"/>
        <w:ind w:left="720"/>
        <w:jc w:val="both"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t>Domnívám se, že by bylo vhodné zamyslet se i nad jiným způsobem financování, než je PPP, dluhopisy, nebo půjčky od EIB.</w:t>
      </w:r>
    </w:p>
    <w:p w14:paraId="20C1AE72" w14:textId="77777777" w:rsidR="00961780" w:rsidRPr="00961780" w:rsidRDefault="00961780" w:rsidP="00961780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  <w:lang w:eastAsia="en-US"/>
        </w:rPr>
        <w:t>7</w:t>
      </w: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t>. SPS uplatňuje připomínky k vazbě dalšího rozvoje s ohledem na finance:</w:t>
      </w:r>
    </w:p>
    <w:p w14:paraId="414E2015" w14:textId="77777777" w:rsidR="00961780" w:rsidRPr="00961780" w:rsidRDefault="00961780" w:rsidP="00961780">
      <w:pPr>
        <w:shd w:val="clear" w:color="auto" w:fill="FFFFFF"/>
        <w:spacing w:line="297" w:lineRule="atLeast"/>
        <w:ind w:left="709" w:hanging="576"/>
        <w:jc w:val="both"/>
        <w:outlineLvl w:val="1"/>
        <w:rPr>
          <w:rFonts w:asciiTheme="minorHAnsi" w:hAnsiTheme="minorHAnsi" w:cstheme="minorHAnsi"/>
          <w:color w:val="2F5496"/>
          <w:sz w:val="24"/>
          <w:szCs w:val="24"/>
        </w:rPr>
      </w:pPr>
      <w:r w:rsidRPr="00961780">
        <w:rPr>
          <w:rFonts w:asciiTheme="minorHAnsi" w:hAnsiTheme="minorHAnsi" w:cstheme="minorHAnsi"/>
          <w:color w:val="2F5496"/>
          <w:sz w:val="24"/>
          <w:szCs w:val="24"/>
        </w:rPr>
        <w:t>1.1       Závěry finanční analýzy</w:t>
      </w:r>
    </w:p>
    <w:p w14:paraId="6D31A935" w14:textId="77777777" w:rsidR="00961780" w:rsidRPr="00961780" w:rsidRDefault="00961780" w:rsidP="00961780">
      <w:pPr>
        <w:shd w:val="clear" w:color="auto" w:fill="FFFFFF"/>
        <w:rPr>
          <w:rFonts w:asciiTheme="minorHAnsi" w:eastAsia="Calibri" w:hAnsiTheme="minorHAnsi" w:cstheme="minorHAnsi"/>
          <w:i/>
          <w:iCs/>
          <w:color w:val="242424"/>
          <w:sz w:val="24"/>
          <w:szCs w:val="24"/>
        </w:rPr>
      </w:pPr>
      <w:r w:rsidRPr="00961780">
        <w:rPr>
          <w:rFonts w:asciiTheme="minorHAnsi" w:eastAsia="Calibri" w:hAnsiTheme="minorHAnsi" w:cstheme="minorHAnsi"/>
          <w:color w:val="242424"/>
          <w:sz w:val="24"/>
          <w:szCs w:val="24"/>
        </w:rPr>
        <w:t xml:space="preserve">Citace.: </w:t>
      </w:r>
      <w:r w:rsidRPr="00961780">
        <w:rPr>
          <w:rFonts w:asciiTheme="minorHAnsi" w:eastAsia="Calibri" w:hAnsiTheme="minorHAnsi" w:cstheme="minorHAnsi"/>
          <w:i/>
          <w:iCs/>
          <w:color w:val="242424"/>
          <w:sz w:val="24"/>
          <w:szCs w:val="24"/>
        </w:rPr>
        <w:t>V tuto chvíli v každém případě postrádá smysl uvažovat v období do roku 2050 o realizaci dalších rozsáhlejších souborů projektů nad rámec již dosud sledovaných. Atd….</w:t>
      </w:r>
    </w:p>
    <w:p w14:paraId="25353F75" w14:textId="77777777" w:rsidR="00961780" w:rsidRPr="00961780" w:rsidRDefault="00961780" w:rsidP="00961780">
      <w:pPr>
        <w:shd w:val="clear" w:color="auto" w:fill="FFFFFF"/>
        <w:rPr>
          <w:rFonts w:asciiTheme="minorHAnsi" w:eastAsia="Calibri" w:hAnsiTheme="minorHAnsi" w:cstheme="minorHAnsi"/>
          <w:i/>
          <w:iCs/>
          <w:color w:val="242424"/>
          <w:sz w:val="24"/>
          <w:szCs w:val="24"/>
        </w:rPr>
      </w:pPr>
    </w:p>
    <w:p w14:paraId="06D01FE2" w14:textId="77777777" w:rsidR="00961780" w:rsidRPr="00961780" w:rsidRDefault="00961780" w:rsidP="00961780">
      <w:pPr>
        <w:shd w:val="clear" w:color="auto" w:fill="FFFFFF"/>
        <w:rPr>
          <w:rFonts w:asciiTheme="minorHAnsi" w:eastAsia="Calibri" w:hAnsiTheme="minorHAnsi" w:cstheme="minorHAnsi"/>
          <w:color w:val="242424"/>
          <w:sz w:val="24"/>
          <w:szCs w:val="24"/>
        </w:rPr>
      </w:pPr>
      <w:r w:rsidRPr="00961780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V podstatě se tím zcela odkládá myšlenka na propojení krajských měst kapacitními komunikacemi dálničního typu, jejíž přípravu měli ve vládních prohlášeních několik předchozích vlád. Chápeme, že nebudou v daném období realizovány, ale rezignovat i na přípravu až do roku 2050 je škoda a určitě to postrádá jakoukoliv vizi pro další generace. Je to trochu v rozporu s tím, že stejně má být většina staveb financována formou PPP a tudíž zastavit přípravu kapacitních silnic dálničního typu u této vize až do roku 2050 je poměrně krátkozraké.</w:t>
      </w:r>
    </w:p>
    <w:p w14:paraId="7963D34D" w14:textId="77777777" w:rsidR="00961780" w:rsidRPr="00961780" w:rsidRDefault="00961780" w:rsidP="00961780">
      <w:pPr>
        <w:shd w:val="clear" w:color="auto" w:fill="FFFFFF"/>
        <w:spacing w:after="160" w:line="256" w:lineRule="auto"/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</w:pPr>
    </w:p>
    <w:p w14:paraId="05AE25A4" w14:textId="77777777" w:rsidR="00961780" w:rsidRPr="00961780" w:rsidRDefault="00961780" w:rsidP="0096178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6" w:lineRule="auto"/>
        <w:contextualSpacing/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  <w:t>U některých dálničních staveb jsou (patrně s ohledem na problémy s přípravou) nelogicky najednou zvolena jiná kategorie. Příkladem může být např. dálnice</w:t>
      </w:r>
      <w:r w:rsidRPr="00961780">
        <w:rPr>
          <w:rFonts w:asciiTheme="minorHAnsi" w:hAnsiTheme="minorHAnsi" w:cstheme="minorHAnsi"/>
          <w:b/>
          <w:bCs/>
          <w:color w:val="242424"/>
          <w:kern w:val="2"/>
          <w:sz w:val="24"/>
          <w:szCs w:val="24"/>
          <w:lang w:eastAsia="en-US"/>
        </w:rPr>
        <w:t xml:space="preserve"> </w:t>
      </w:r>
      <w:r w:rsidRPr="00961780"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  <w:t xml:space="preserve">D35, </w:t>
      </w:r>
      <w:r w:rsidRPr="00961780">
        <w:rPr>
          <w:rFonts w:asciiTheme="minorHAnsi" w:hAnsiTheme="minorHAnsi" w:cstheme="minorHAnsi"/>
          <w:color w:val="242424"/>
          <w:kern w:val="2"/>
          <w:sz w:val="24"/>
          <w:szCs w:val="24"/>
          <w:lang w:eastAsia="en-US"/>
        </w:rPr>
        <w:lastRenderedPageBreak/>
        <w:t>která je v celé délce přes Českou republiku, uvedena jako dálnice a v úseku mezi Turnovem a Úlibicemi v kategorii I/35.</w:t>
      </w:r>
    </w:p>
    <w:p w14:paraId="04E6B104" w14:textId="77777777" w:rsidR="00961780" w:rsidRPr="00961780" w:rsidRDefault="00961780" w:rsidP="00961780">
      <w:pPr>
        <w:shd w:val="clear" w:color="auto" w:fill="FFFFFF"/>
        <w:spacing w:before="160" w:after="160" w:line="256" w:lineRule="auto"/>
        <w:jc w:val="both"/>
        <w:rPr>
          <w:rFonts w:asciiTheme="minorHAnsi" w:eastAsia="Calibri" w:hAnsiTheme="minorHAnsi" w:cstheme="minorHAnsi"/>
          <w:color w:val="242424"/>
          <w:kern w:val="2"/>
          <w:sz w:val="24"/>
          <w:szCs w:val="24"/>
          <w:u w:val="single"/>
          <w:lang w:eastAsia="en-US"/>
        </w:rPr>
      </w:pPr>
      <w:r w:rsidRPr="00961780">
        <w:rPr>
          <w:rFonts w:asciiTheme="minorHAnsi" w:eastAsia="Calibri" w:hAnsiTheme="minorHAnsi" w:cstheme="minorHAnsi"/>
          <w:color w:val="242424"/>
          <w:kern w:val="2"/>
          <w:sz w:val="24"/>
          <w:szCs w:val="24"/>
          <w:u w:val="single"/>
          <w:lang w:eastAsia="en-US"/>
        </w:rPr>
        <w:t>2805S I/35, D35 Turnov – Jičín – Hradec Králové </w:t>
      </w:r>
    </w:p>
    <w:p w14:paraId="21218EEB" w14:textId="77777777" w:rsidR="00961780" w:rsidRPr="00961780" w:rsidRDefault="00961780" w:rsidP="00961780">
      <w:pPr>
        <w:shd w:val="clear" w:color="auto" w:fill="FFFFFF"/>
        <w:spacing w:after="160" w:line="256" w:lineRule="auto"/>
        <w:jc w:val="both"/>
        <w:rPr>
          <w:rFonts w:asciiTheme="minorHAnsi" w:eastAsia="Calibr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color w:val="242424"/>
          <w:kern w:val="2"/>
          <w:sz w:val="24"/>
          <w:szCs w:val="24"/>
          <w:lang w:eastAsia="en-US"/>
        </w:rPr>
        <w:t xml:space="preserve">Citace: </w:t>
      </w:r>
      <w:r w:rsidRPr="00961780">
        <w:rPr>
          <w:rFonts w:asciiTheme="minorHAnsi" w:eastAsia="Calibr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První úsek je proto plánován v dálničních parametrech, úsek Jičín – Turnov jako vystřídaný třípruh. První úsek bude denně využívat cca 20 tis. osobních a 2 500 nákladních vozidel, proto jsou parametry dálnice opodstatněné. </w:t>
      </w:r>
    </w:p>
    <w:p w14:paraId="1F748425" w14:textId="77777777" w:rsidR="00961780" w:rsidRPr="00961780" w:rsidRDefault="00961780" w:rsidP="00961780">
      <w:pPr>
        <w:shd w:val="clear" w:color="auto" w:fill="FFFFFF"/>
        <w:spacing w:after="160" w:line="256" w:lineRule="auto"/>
        <w:jc w:val="both"/>
        <w:rPr>
          <w:rFonts w:asciiTheme="minorHAnsi" w:eastAsia="Calibr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V klastru jsou definovány následující projekty: </w:t>
      </w:r>
    </w:p>
    <w:p w14:paraId="53FE50D0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Dálnice D35 Úlibice - obchvat </w:t>
      </w:r>
    </w:p>
    <w:p w14:paraId="5E6F1F71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Dálnice D35 Úlibice - Hořice </w:t>
      </w:r>
    </w:p>
    <w:p w14:paraId="681610C2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Dálnice D35 Hořice - Sadová </w:t>
      </w:r>
    </w:p>
    <w:p w14:paraId="318DD318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Dálnice D35 Sadová - Plotiště </w:t>
      </w:r>
    </w:p>
    <w:p w14:paraId="28E819C9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I/35 Turnov - Úlibice </w:t>
      </w:r>
    </w:p>
    <w:p w14:paraId="6B31F43B" w14:textId="77777777" w:rsidR="00961780" w:rsidRPr="00961780" w:rsidRDefault="00961780" w:rsidP="0096178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i/>
          <w:iCs/>
          <w:color w:val="242424"/>
          <w:kern w:val="2"/>
          <w:sz w:val="24"/>
          <w:szCs w:val="24"/>
          <w:lang w:eastAsia="en-US"/>
        </w:rPr>
        <w:t>I/35 MÚK D11 Plotiště - okružní křižovatka Plotiště</w:t>
      </w:r>
    </w:p>
    <w:p w14:paraId="76736ED2" w14:textId="77777777" w:rsidR="00961780" w:rsidRPr="00961780" w:rsidRDefault="00961780" w:rsidP="00961780">
      <w:pPr>
        <w:spacing w:after="160" w:line="256" w:lineRule="auto"/>
        <w:rPr>
          <w:rFonts w:asciiTheme="minorHAnsi" w:hAnsiTheme="minorHAnsi" w:cstheme="minorHAnsi"/>
          <w:i/>
          <w:iCs/>
          <w:kern w:val="2"/>
          <w:sz w:val="24"/>
          <w:szCs w:val="24"/>
          <w:lang w:eastAsia="en-US"/>
        </w:rPr>
      </w:pPr>
    </w:p>
    <w:p w14:paraId="456F6400" w14:textId="77777777" w:rsidR="00961780" w:rsidRPr="00961780" w:rsidRDefault="00961780" w:rsidP="00961780">
      <w:pPr>
        <w:spacing w:after="160" w:line="256" w:lineRule="auto"/>
        <w:jc w:val="both"/>
        <w:rPr>
          <w:rFonts w:asciiTheme="minorHAnsi" w:eastAsia="Calibri" w:hAnsiTheme="minorHAnsi" w:cstheme="minorHAnsi"/>
          <w:color w:val="000000"/>
          <w:kern w:val="2"/>
          <w:sz w:val="24"/>
          <w:szCs w:val="24"/>
          <w:u w:val="single"/>
          <w:lang w:eastAsia="en-US"/>
        </w:rPr>
      </w:pPr>
      <w:r w:rsidRPr="00961780">
        <w:rPr>
          <w:rFonts w:asciiTheme="minorHAnsi" w:eastAsia="Calibri" w:hAnsiTheme="minorHAnsi" w:cstheme="minorHAnsi"/>
          <w:color w:val="000000"/>
          <w:kern w:val="2"/>
          <w:sz w:val="24"/>
          <w:szCs w:val="24"/>
          <w:u w:val="single"/>
          <w:lang w:eastAsia="en-US"/>
        </w:rPr>
        <w:t>603S D35 Opatovice n/L – Olomouc – Lipník n/B </w:t>
      </w:r>
    </w:p>
    <w:p w14:paraId="5D5C3BA0" w14:textId="77777777" w:rsidR="00961780" w:rsidRPr="00961780" w:rsidRDefault="00961780" w:rsidP="00961780">
      <w:pPr>
        <w:spacing w:after="160" w:line="256" w:lineRule="auto"/>
        <w:jc w:val="both"/>
        <w:rPr>
          <w:rFonts w:asciiTheme="minorHAnsi" w:eastAsia="Calibri" w:hAnsiTheme="minorHAnsi" w:cstheme="minorHAnsi"/>
          <w:i/>
          <w:iCs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eastAsia="Calibri" w:hAnsiTheme="minorHAnsi" w:cstheme="minorHAnsi"/>
          <w:i/>
          <w:iCs/>
          <w:color w:val="000000"/>
          <w:kern w:val="2"/>
          <w:sz w:val="24"/>
          <w:szCs w:val="24"/>
          <w:lang w:eastAsia="en-US"/>
        </w:rPr>
        <w:t>Druhé, severní, česko-moravské dálniční spojení podle dopravního modelu ukazuje, že jeho zatížení bude větší, než se počítá na dálnici D1, což je dáno větší hustotou osídlení, kterým prochází, sever je i více průmyslový. Jedná se o základní potřebu, parametry dálnice jsou navrženy vyváženě. Předpokládá se provoz až 25 - 35 tis osobních a 5 – 10 tis. nákladních vozidel. Klastr obsahuje následující připravované projekty: </w:t>
      </w:r>
    </w:p>
    <w:p w14:paraId="36684AFB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Ostrov – Vysoké Mýto </w:t>
      </w:r>
    </w:p>
    <w:p w14:paraId="5A116190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Vysoké Mýto – Džbánov </w:t>
      </w:r>
    </w:p>
    <w:p w14:paraId="67D8BE1B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Džbánov – Litomyšl </w:t>
      </w:r>
    </w:p>
    <w:p w14:paraId="01020820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Litomyšl – Janov </w:t>
      </w:r>
    </w:p>
    <w:p w14:paraId="45FE5FD5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Janov – Opatovec </w:t>
      </w:r>
    </w:p>
    <w:p w14:paraId="4AAF4EAA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Opatovec – Staré Město </w:t>
      </w:r>
    </w:p>
    <w:p w14:paraId="42699E5C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Staré Město – Mohelnice </w:t>
      </w:r>
    </w:p>
    <w:p w14:paraId="68ECF7A7" w14:textId="77777777" w:rsidR="00961780" w:rsidRPr="00961780" w:rsidRDefault="00961780" w:rsidP="00961780">
      <w:pPr>
        <w:numPr>
          <w:ilvl w:val="1"/>
          <w:numId w:val="20"/>
        </w:numPr>
        <w:spacing w:before="100" w:beforeAutospacing="1" w:after="100" w:afterAutospacing="1" w:line="25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617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Dálnice D35 Křelov – Slavonín 2. etapa </w:t>
      </w:r>
    </w:p>
    <w:p w14:paraId="65E59F67" w14:textId="77777777" w:rsidR="00961780" w:rsidRPr="00961780" w:rsidRDefault="00961780" w:rsidP="00961780">
      <w:pPr>
        <w:spacing w:after="160" w:line="256" w:lineRule="auto"/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</w:pPr>
      <w:r w:rsidRPr="00961780">
        <w:rPr>
          <w:rFonts w:asciiTheme="minorHAnsi" w:hAnsiTheme="minorHAnsi" w:cstheme="minorHAnsi"/>
          <w:color w:val="000000"/>
          <w:kern w:val="2"/>
          <w:sz w:val="24"/>
          <w:szCs w:val="24"/>
          <w:lang w:eastAsia="en-US"/>
        </w:rPr>
        <w:t>Domníváme se, že v budoucnu se tyto "úlitby" ekologickým organizacím vymstí a tento postup se opět jeví jako krátkozraký s ohledem, že se jedná o období do roku 2050.</w:t>
      </w:r>
    </w:p>
    <w:p w14:paraId="4771BF7F" w14:textId="008D4D63" w:rsidR="00116A85" w:rsidRPr="00961780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1780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61780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61780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6178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961780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558A6733" w:rsidR="009846A5" w:rsidRPr="00961780" w:rsidRDefault="00F146D1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Pavel Še</w:t>
      </w:r>
      <w:r w:rsidR="0042532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včík PhD.</w:t>
      </w:r>
      <w:r w:rsidR="009846A5" w:rsidRPr="009617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617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617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A30E7C" w:rsidRPr="00011933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A30E7C">
        <w:rPr>
          <w:rFonts w:asciiTheme="minorHAnsi" w:hAnsiTheme="minorHAnsi" w:cstheme="minorHAnsi"/>
          <w:bCs/>
          <w:sz w:val="24"/>
          <w:szCs w:val="24"/>
        </w:rPr>
        <w:tab/>
      </w:r>
      <w:r w:rsidR="00A30E7C">
        <w:rPr>
          <w:rFonts w:asciiTheme="minorHAnsi" w:hAnsiTheme="minorHAnsi" w:cstheme="minorHAnsi"/>
          <w:bCs/>
          <w:sz w:val="24"/>
          <w:szCs w:val="24"/>
        </w:rPr>
        <w:tab/>
      </w:r>
      <w:r w:rsidR="009846A5" w:rsidRPr="009617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9846A5" w:rsidRPr="009617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2A4E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605</w:t>
      </w:r>
      <w:r w:rsidR="00CB4EC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205 650</w:t>
      </w:r>
    </w:p>
    <w:p w14:paraId="6AA718CE" w14:textId="09404F4C" w:rsidR="00116A85" w:rsidRPr="00961780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961780">
        <w:rPr>
          <w:rFonts w:asciiTheme="minorHAnsi" w:hAnsiTheme="minorHAnsi" w:cstheme="minorHAnsi"/>
        </w:rPr>
        <w:t>Dr.</w:t>
      </w:r>
      <w:r w:rsidR="00116A85" w:rsidRPr="00961780">
        <w:rPr>
          <w:rFonts w:asciiTheme="minorHAnsi" w:hAnsiTheme="minorHAnsi" w:cstheme="minorHAnsi"/>
        </w:rPr>
        <w:t xml:space="preserve"> Jan Zikeš</w:t>
      </w:r>
      <w:r w:rsidR="00C02026" w:rsidRPr="00961780">
        <w:rPr>
          <w:rFonts w:asciiTheme="minorHAnsi" w:hAnsiTheme="minorHAnsi" w:cstheme="minorHAnsi"/>
        </w:rPr>
        <w:tab/>
      </w:r>
      <w:r w:rsidR="00C02026" w:rsidRPr="00961780">
        <w:rPr>
          <w:rFonts w:asciiTheme="minorHAnsi" w:hAnsiTheme="minorHAnsi" w:cstheme="minorHAnsi"/>
        </w:rPr>
        <w:tab/>
      </w:r>
      <w:r w:rsidR="007D6A55" w:rsidRPr="00961780">
        <w:rPr>
          <w:rFonts w:asciiTheme="minorHAnsi" w:hAnsiTheme="minorHAnsi" w:cstheme="minorHAnsi"/>
        </w:rPr>
        <w:tab/>
      </w:r>
      <w:r w:rsidR="00F52BC5" w:rsidRPr="00961780">
        <w:rPr>
          <w:rFonts w:asciiTheme="minorHAnsi" w:hAnsiTheme="minorHAnsi" w:cstheme="minorHAnsi"/>
        </w:rPr>
        <w:tab/>
      </w:r>
      <w:r w:rsidR="00116A85" w:rsidRPr="00961780">
        <w:rPr>
          <w:rFonts w:asciiTheme="minorHAnsi" w:hAnsiTheme="minorHAnsi" w:cstheme="minorHAnsi"/>
        </w:rPr>
        <w:t>e</w:t>
      </w:r>
      <w:r w:rsidR="001932EA" w:rsidRPr="00961780">
        <w:rPr>
          <w:rFonts w:asciiTheme="minorHAnsi" w:hAnsiTheme="minorHAnsi" w:cstheme="minorHAnsi"/>
        </w:rPr>
        <w:t>-</w:t>
      </w:r>
      <w:r w:rsidR="00116A85" w:rsidRPr="00961780">
        <w:rPr>
          <w:rFonts w:asciiTheme="minorHAnsi" w:hAnsiTheme="minorHAnsi" w:cstheme="minorHAnsi"/>
        </w:rPr>
        <w:t>mail:</w:t>
      </w:r>
      <w:r w:rsidR="00B62EFD" w:rsidRPr="00961780">
        <w:rPr>
          <w:rFonts w:asciiTheme="minorHAnsi" w:hAnsiTheme="minorHAnsi" w:cstheme="minorHAnsi"/>
        </w:rPr>
        <w:tab/>
      </w:r>
      <w:hyperlink r:id="rId12" w:history="1">
        <w:r w:rsidR="00116A85" w:rsidRPr="0096178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961780">
        <w:rPr>
          <w:rFonts w:asciiTheme="minorHAnsi" w:hAnsiTheme="minorHAnsi" w:cstheme="minorHAnsi"/>
        </w:rPr>
        <w:tab/>
      </w:r>
      <w:r w:rsidR="00C02026" w:rsidRPr="00961780">
        <w:rPr>
          <w:rFonts w:asciiTheme="minorHAnsi" w:hAnsiTheme="minorHAnsi" w:cstheme="minorHAnsi"/>
        </w:rPr>
        <w:tab/>
      </w:r>
      <w:r w:rsidR="00680FD8" w:rsidRPr="00961780">
        <w:rPr>
          <w:rFonts w:asciiTheme="minorHAnsi" w:hAnsiTheme="minorHAnsi" w:cstheme="minorHAnsi"/>
        </w:rPr>
        <w:tab/>
      </w:r>
      <w:r w:rsidR="00116A85" w:rsidRPr="00961780">
        <w:rPr>
          <w:rFonts w:asciiTheme="minorHAnsi" w:hAnsiTheme="minorHAnsi" w:cstheme="minorHAnsi"/>
        </w:rPr>
        <w:t>tel:</w:t>
      </w:r>
      <w:r w:rsidR="00D442C1" w:rsidRPr="00961780">
        <w:rPr>
          <w:rFonts w:asciiTheme="minorHAnsi" w:hAnsiTheme="minorHAnsi" w:cstheme="minorHAnsi"/>
        </w:rPr>
        <w:tab/>
      </w:r>
      <w:r w:rsidR="00C02026" w:rsidRPr="00961780">
        <w:rPr>
          <w:rFonts w:asciiTheme="minorHAnsi" w:hAnsiTheme="minorHAnsi" w:cstheme="minorHAnsi"/>
        </w:rPr>
        <w:t>222 324</w:t>
      </w:r>
      <w:r w:rsidR="00CB4ECB">
        <w:rPr>
          <w:rFonts w:asciiTheme="minorHAnsi" w:hAnsiTheme="minorHAnsi" w:cstheme="minorHAnsi"/>
        </w:rPr>
        <w:t> </w:t>
      </w:r>
      <w:r w:rsidR="00C02026" w:rsidRPr="00961780">
        <w:rPr>
          <w:rFonts w:asciiTheme="minorHAnsi" w:hAnsiTheme="minorHAnsi" w:cstheme="minorHAnsi"/>
        </w:rPr>
        <w:t>985</w:t>
      </w:r>
    </w:p>
    <w:p w14:paraId="33C6AE47" w14:textId="77777777" w:rsidR="00CB4ECB" w:rsidRPr="00961780" w:rsidRDefault="00CB4EC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E32CD09" w:rsidR="00FD1397" w:rsidRPr="00961780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6178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61780">
        <w:rPr>
          <w:rFonts w:asciiTheme="minorHAnsi" w:hAnsiTheme="minorHAnsi" w:cstheme="minorHAnsi"/>
          <w:sz w:val="24"/>
          <w:szCs w:val="24"/>
        </w:rPr>
        <w:t xml:space="preserve"> </w:t>
      </w:r>
      <w:r w:rsidR="00CB4ECB">
        <w:rPr>
          <w:rFonts w:asciiTheme="minorHAnsi" w:hAnsiTheme="minorHAnsi" w:cstheme="minorHAnsi"/>
          <w:sz w:val="24"/>
          <w:szCs w:val="24"/>
        </w:rPr>
        <w:t>18. července</w:t>
      </w:r>
      <w:r w:rsidR="00CF3AB9" w:rsidRPr="00961780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961780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61780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61780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2A28AB" w:rsidRPr="00961780">
        <w:rPr>
          <w:rFonts w:asciiTheme="minorHAnsi" w:hAnsiTheme="minorHAnsi" w:cstheme="minorHAnsi"/>
          <w:sz w:val="24"/>
          <w:szCs w:val="24"/>
        </w:rPr>
        <w:tab/>
      </w:r>
      <w:r w:rsidR="002A28AB" w:rsidRPr="00961780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61780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61780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61780">
        <w:rPr>
          <w:rFonts w:asciiTheme="minorHAnsi" w:hAnsiTheme="minorHAnsi" w:cstheme="minorHAnsi"/>
          <w:sz w:val="24"/>
          <w:szCs w:val="24"/>
        </w:rPr>
        <w:tab/>
      </w:r>
      <w:r w:rsidRPr="0096178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61780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61780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E825FB" w:rsidRPr="00961780">
        <w:rPr>
          <w:rFonts w:asciiTheme="minorHAnsi" w:hAnsiTheme="minorHAnsi" w:cstheme="minorHAnsi"/>
          <w:sz w:val="24"/>
          <w:szCs w:val="24"/>
        </w:rPr>
        <w:tab/>
      </w:r>
      <w:r w:rsidR="002A28AB" w:rsidRPr="00961780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61780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61780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61780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61780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4D6A" w14:textId="77777777" w:rsidR="000D0630" w:rsidRDefault="000D0630">
      <w:r>
        <w:separator/>
      </w:r>
    </w:p>
    <w:p w14:paraId="0FD6AE4F" w14:textId="77777777" w:rsidR="000D0630" w:rsidRDefault="000D0630"/>
  </w:endnote>
  <w:endnote w:type="continuationSeparator" w:id="0">
    <w:p w14:paraId="55D7C308" w14:textId="77777777" w:rsidR="000D0630" w:rsidRDefault="000D0630">
      <w:r>
        <w:continuationSeparator/>
      </w:r>
    </w:p>
    <w:p w14:paraId="5161DB47" w14:textId="77777777" w:rsidR="000D0630" w:rsidRDefault="000D0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0622" w14:textId="77777777" w:rsidR="000D0630" w:rsidRDefault="000D0630">
      <w:r>
        <w:separator/>
      </w:r>
    </w:p>
    <w:p w14:paraId="7BEEEEA9" w14:textId="77777777" w:rsidR="000D0630" w:rsidRDefault="000D0630"/>
  </w:footnote>
  <w:footnote w:type="continuationSeparator" w:id="0">
    <w:p w14:paraId="6D1896B1" w14:textId="77777777" w:rsidR="000D0630" w:rsidRDefault="000D0630">
      <w:r>
        <w:continuationSeparator/>
      </w:r>
    </w:p>
    <w:p w14:paraId="6359EE66" w14:textId="77777777" w:rsidR="000D0630" w:rsidRDefault="000D0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B652D"/>
    <w:multiLevelType w:val="hybridMultilevel"/>
    <w:tmpl w:val="3FAAA6C8"/>
    <w:lvl w:ilvl="0" w:tplc="060C5CA2">
      <w:start w:val="8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E1C"/>
    <w:multiLevelType w:val="multilevel"/>
    <w:tmpl w:val="E690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A1BD1"/>
    <w:multiLevelType w:val="hybridMultilevel"/>
    <w:tmpl w:val="D5D02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2873"/>
    <w:multiLevelType w:val="multilevel"/>
    <w:tmpl w:val="064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9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8"/>
  </w:num>
  <w:num w:numId="2" w16cid:durableId="1377966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20"/>
  </w:num>
  <w:num w:numId="10" w16cid:durableId="279840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11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5"/>
  </w:num>
  <w:num w:numId="16" w16cid:durableId="4221836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220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3532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395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5220509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55B1F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630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4E03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532E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3767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780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0E7C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B4ECB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46D1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1A47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7079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2023-07-18T15:07:00Z</dcterms:modified>
</cp:coreProperties>
</file>