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A0F09" w14:textId="7CAF7FF3" w:rsidR="00E73B74" w:rsidRDefault="00E73B74" w:rsidP="00E73B74">
      <w:pPr>
        <w:pStyle w:val="Normlnweb"/>
        <w:spacing w:after="200" w:afterAutospacing="0"/>
        <w:jc w:val="both"/>
      </w:pP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 souvislosti s vážnou situací na Ukrajině se již v praxi řeší první problémy, kdy někteří zaměstnanci z Ukrajiny vykonávající práci pro zaměstnavatele v ČR podle zákoníku práce již začínají dostávat povolávací rozkazy – zaměstnavatelé řeší i pracovněprávní souvislosti a důsledky tohoto odchodu. </w:t>
      </w:r>
      <w:r>
        <w:rPr>
          <w:rFonts w:ascii="Arial" w:hAnsi="Arial" w:cs="Arial"/>
          <w:sz w:val="24"/>
          <w:szCs w:val="24"/>
          <w:u w:val="single"/>
        </w:rPr>
        <w:t>Dovoluji si Vám zaslat k případnému využití v této věci naše stanovisko:</w:t>
      </w:r>
    </w:p>
    <w:p w14:paraId="6D5F9985" w14:textId="77777777" w:rsidR="00E73B74" w:rsidRDefault="00E73B74" w:rsidP="00E73B74">
      <w:pPr>
        <w:pStyle w:val="Normlnweb"/>
        <w:spacing w:after="200" w:afterAutospacing="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V případě, že </w:t>
      </w:r>
      <w:r>
        <w:rPr>
          <w:rFonts w:ascii="Arial" w:hAnsi="Arial" w:cs="Arial"/>
          <w:color w:val="000000"/>
          <w:sz w:val="24"/>
          <w:szCs w:val="24"/>
          <w:u w:val="single"/>
        </w:rPr>
        <w:t>občan Ukrajiny</w:t>
      </w:r>
      <w:r>
        <w:rPr>
          <w:rFonts w:ascii="Arial" w:hAnsi="Arial" w:cs="Arial"/>
          <w:color w:val="000000"/>
          <w:sz w:val="24"/>
          <w:szCs w:val="24"/>
        </w:rPr>
        <w:t xml:space="preserve">, který je zaměstnancem českého zaměstnavatele, </w:t>
      </w:r>
      <w:r>
        <w:rPr>
          <w:rFonts w:ascii="Arial" w:hAnsi="Arial" w:cs="Arial"/>
          <w:color w:val="000000"/>
          <w:sz w:val="24"/>
          <w:szCs w:val="24"/>
          <w:u w:val="single"/>
        </w:rPr>
        <w:t>požádá</w:t>
      </w:r>
      <w:r>
        <w:rPr>
          <w:rFonts w:ascii="Arial" w:hAnsi="Arial" w:cs="Arial"/>
          <w:color w:val="000000"/>
          <w:sz w:val="24"/>
          <w:szCs w:val="24"/>
        </w:rPr>
        <w:t xml:space="preserve"> v souvislosti s povolávacím rozkazem, který obdržel, </w:t>
      </w:r>
      <w:r>
        <w:rPr>
          <w:rFonts w:ascii="Arial" w:hAnsi="Arial" w:cs="Arial"/>
          <w:color w:val="000000"/>
          <w:sz w:val="24"/>
          <w:szCs w:val="24"/>
          <w:u w:val="single"/>
        </w:rPr>
        <w:t>o poskytnutí pracovního volna, jde podle našeho názoru o</w:t>
      </w:r>
      <w:r>
        <w:rPr>
          <w:rFonts w:ascii="Arial" w:hAnsi="Arial" w:cs="Arial"/>
          <w:color w:val="000000"/>
          <w:sz w:val="24"/>
          <w:szCs w:val="24"/>
        </w:rPr>
        <w:t xml:space="preserve"> nepojmenovanou jinou důležitou osobní </w:t>
      </w:r>
      <w:r>
        <w:rPr>
          <w:rFonts w:ascii="Arial" w:hAnsi="Arial" w:cs="Arial"/>
          <w:color w:val="000000"/>
          <w:sz w:val="24"/>
          <w:szCs w:val="24"/>
          <w:u w:val="single"/>
        </w:rPr>
        <w:t>překážku v práci podle § 199 zákoníku práce</w:t>
      </w:r>
      <w:r>
        <w:rPr>
          <w:rFonts w:ascii="Arial" w:hAnsi="Arial" w:cs="Arial"/>
          <w:color w:val="000000"/>
          <w:sz w:val="24"/>
          <w:szCs w:val="24"/>
        </w:rPr>
        <w:t xml:space="preserve"> a </w:t>
      </w:r>
      <w:r>
        <w:rPr>
          <w:rFonts w:ascii="Arial" w:hAnsi="Arial" w:cs="Arial"/>
          <w:color w:val="000000"/>
          <w:sz w:val="24"/>
          <w:szCs w:val="24"/>
          <w:u w:val="single"/>
        </w:rPr>
        <w:t>zaměstnavatel je</w:t>
      </w:r>
      <w:r>
        <w:rPr>
          <w:rFonts w:ascii="Arial" w:hAnsi="Arial" w:cs="Arial"/>
          <w:color w:val="000000"/>
          <w:sz w:val="24"/>
          <w:szCs w:val="24"/>
        </w:rPr>
        <w:t xml:space="preserve"> v daném případě </w:t>
      </w:r>
      <w:r>
        <w:rPr>
          <w:rFonts w:ascii="Arial" w:hAnsi="Arial" w:cs="Arial"/>
          <w:color w:val="000000"/>
          <w:sz w:val="24"/>
          <w:szCs w:val="24"/>
          <w:u w:val="single"/>
        </w:rPr>
        <w:t>povinen omluvit nepřítomnost zaměstnance v práci</w:t>
      </w:r>
      <w:r>
        <w:rPr>
          <w:rFonts w:ascii="Arial" w:hAnsi="Arial" w:cs="Arial"/>
          <w:color w:val="000000"/>
          <w:sz w:val="24"/>
          <w:szCs w:val="24"/>
        </w:rPr>
        <w:t xml:space="preserve">. Zaměstnanci náhrada mzdy nebo platu od zaměstnavatele za dobu trvání překážky v práci nepřísluší (ledaže by ji zaměstnavatel poskytl nad rámec zákona). Zaměstnanec je podle § 206 zákoníku práce povinen uvědomit zaměstnavatele o překážce v práci bez zbytečného průtahu a rovněž je povinen zaměstnavateli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překážku v práci prokázat </w:t>
      </w:r>
      <w:r>
        <w:rPr>
          <w:rFonts w:ascii="Arial" w:hAnsi="Arial" w:cs="Arial"/>
          <w:color w:val="000000"/>
          <w:sz w:val="24"/>
          <w:szCs w:val="24"/>
        </w:rPr>
        <w:t xml:space="preserve">(např. předložením povolávacího rozkazu). </w:t>
      </w:r>
      <w:r>
        <w:rPr>
          <w:rFonts w:ascii="Arial" w:hAnsi="Arial" w:cs="Arial"/>
          <w:color w:val="000000"/>
          <w:sz w:val="24"/>
          <w:szCs w:val="24"/>
          <w:u w:val="single"/>
        </w:rPr>
        <w:t>Záleží na zaměstnanci, zda o pracovní volno požádá</w:t>
      </w:r>
      <w:r>
        <w:rPr>
          <w:rFonts w:ascii="Arial" w:hAnsi="Arial" w:cs="Arial"/>
          <w:color w:val="000000"/>
          <w:sz w:val="24"/>
          <w:szCs w:val="24"/>
        </w:rPr>
        <w:t>. Zákon nestanoví formu žádosti – může být písemná nebo ústní.</w:t>
      </w:r>
    </w:p>
    <w:p w14:paraId="07916793" w14:textId="77777777" w:rsidR="00E73B74" w:rsidRDefault="00E73B74" w:rsidP="00E73B74">
      <w:pPr>
        <w:pStyle w:val="Normlnweb"/>
        <w:spacing w:after="200" w:afterAutospacing="0"/>
        <w:jc w:val="both"/>
      </w:pPr>
      <w:r>
        <w:rPr>
          <w:rFonts w:ascii="Arial" w:hAnsi="Arial" w:cs="Arial"/>
          <w:color w:val="000000"/>
          <w:sz w:val="24"/>
          <w:szCs w:val="24"/>
        </w:rPr>
        <w:t>S ohledem na to, že zaměstnavatel je povinen omluvit nepřítomnost zaměstnance v práci, </w:t>
      </w:r>
      <w:r>
        <w:rPr>
          <w:rFonts w:ascii="Arial" w:hAnsi="Arial" w:cs="Arial"/>
          <w:color w:val="000000"/>
          <w:sz w:val="24"/>
          <w:szCs w:val="24"/>
          <w:u w:val="single"/>
        </w:rPr>
        <w:t>není zde dán výpovědní důvod</w:t>
      </w:r>
      <w:r>
        <w:rPr>
          <w:rFonts w:ascii="Arial" w:hAnsi="Arial" w:cs="Arial"/>
          <w:color w:val="000000"/>
          <w:sz w:val="24"/>
          <w:szCs w:val="24"/>
        </w:rPr>
        <w:t xml:space="preserve"> pro rozvázání pracovního poměru výpovědí </w:t>
      </w:r>
      <w:r>
        <w:rPr>
          <w:rFonts w:ascii="Arial" w:hAnsi="Arial" w:cs="Arial"/>
          <w:color w:val="000000"/>
          <w:sz w:val="24"/>
          <w:szCs w:val="24"/>
          <w:u w:val="single"/>
        </w:rPr>
        <w:t>ze strany zaměstnavatele</w:t>
      </w:r>
      <w:r>
        <w:rPr>
          <w:rFonts w:ascii="Arial" w:hAnsi="Arial" w:cs="Arial"/>
          <w:color w:val="000000"/>
          <w:sz w:val="24"/>
          <w:szCs w:val="24"/>
        </w:rPr>
        <w:t xml:space="preserve">. Zaměstnanec však sám může pracovní poměr výpovědí rozvázat, je také možné rozvázat pracovní poměr dohodou, shodne-li se na tom zaměstnanec se zaměstnavatelem. Pracovní poměr na dobu určitou skončí uplynutím doby, na kterou byl sjednán. Podle § 48 odst. 4 zákoníku práce pracovní poměr zaniká též smrtí zaměstnance. Podle § 48 odst. 3 zákoníku práce </w:t>
      </w:r>
      <w:r>
        <w:rPr>
          <w:rFonts w:ascii="Arial" w:hAnsi="Arial" w:cs="Arial"/>
          <w:color w:val="000000"/>
          <w:sz w:val="24"/>
          <w:szCs w:val="24"/>
          <w:u w:val="single"/>
        </w:rPr>
        <w:t>pracovní poměr cizince</w:t>
      </w:r>
      <w:r>
        <w:rPr>
          <w:rFonts w:ascii="Arial" w:hAnsi="Arial" w:cs="Arial"/>
          <w:color w:val="000000"/>
          <w:sz w:val="24"/>
          <w:szCs w:val="24"/>
        </w:rPr>
        <w:t xml:space="preserve"> nebo fyzické osoby bez státní příslušnosti, pokud k jeho skončení nedošlo již jiným způsobem, </w:t>
      </w:r>
      <w:r>
        <w:rPr>
          <w:rFonts w:ascii="Arial" w:hAnsi="Arial" w:cs="Arial"/>
          <w:color w:val="000000"/>
          <w:sz w:val="24"/>
          <w:szCs w:val="24"/>
          <w:u w:val="single"/>
        </w:rPr>
        <w:t>končí</w:t>
      </w:r>
    </w:p>
    <w:p w14:paraId="703F2760" w14:textId="77777777" w:rsidR="00E73B74" w:rsidRDefault="00E73B74" w:rsidP="00E73B74">
      <w:pPr>
        <w:pStyle w:val="Normlnweb"/>
        <w:spacing w:after="200" w:afterAutospacing="0"/>
        <w:jc w:val="both"/>
      </w:pPr>
      <w:r>
        <w:rPr>
          <w:rFonts w:ascii="Arial" w:hAnsi="Arial" w:cs="Arial"/>
          <w:color w:val="000000"/>
          <w:sz w:val="24"/>
          <w:szCs w:val="24"/>
        </w:rPr>
        <w:t>a) dnem, kterým má skončit jejich pobyt na území České republiky podle vykonatelného rozhodnutí o zrušení povolení k pobytu,</w:t>
      </w:r>
    </w:p>
    <w:p w14:paraId="41D677D3" w14:textId="77777777" w:rsidR="00E73B74" w:rsidRDefault="00E73B74" w:rsidP="00E73B74">
      <w:pPr>
        <w:pStyle w:val="Normlnweb"/>
        <w:spacing w:after="200" w:afterAutospacing="0"/>
        <w:jc w:val="both"/>
      </w:pPr>
      <w:r>
        <w:rPr>
          <w:rFonts w:ascii="Arial" w:hAnsi="Arial" w:cs="Arial"/>
          <w:color w:val="000000"/>
          <w:sz w:val="24"/>
          <w:szCs w:val="24"/>
        </w:rPr>
        <w:t>b) dnem, kterým nabyl právní moci rozsudek ukládající těmto osobám trest vyhoštění z území České republiky,</w:t>
      </w:r>
    </w:p>
    <w:p w14:paraId="5BBFAD7F" w14:textId="77777777" w:rsidR="00E73B74" w:rsidRPr="005104CD" w:rsidRDefault="00E73B74" w:rsidP="00E73B74">
      <w:pPr>
        <w:pStyle w:val="Normlnweb"/>
        <w:jc w:val="both"/>
      </w:pPr>
      <w:r w:rsidRPr="005104CD">
        <w:rPr>
          <w:rFonts w:ascii="Arial" w:hAnsi="Arial" w:cs="Arial"/>
          <w:color w:val="000000"/>
          <w:sz w:val="24"/>
          <w:szCs w:val="24"/>
        </w:rPr>
        <w:t>c) uplynutím doby, na kterou bylo vydáno povolení k zaměstnání, zaměstnanecká karta nebo povolení k dlouhodobému pobytu za účelem výkonu zaměstnání vyžadujícího vysokou kvalifikaci.</w:t>
      </w:r>
      <w:r w:rsidRPr="005104CD">
        <w:rPr>
          <w:rFonts w:ascii="Arial" w:hAnsi="Arial" w:cs="Arial"/>
          <w:sz w:val="24"/>
          <w:szCs w:val="24"/>
        </w:rPr>
        <w:t xml:space="preserve"> </w:t>
      </w:r>
    </w:p>
    <w:p w14:paraId="0A426F17" w14:textId="031463C7" w:rsidR="00E73B74" w:rsidRDefault="00E73B74" w:rsidP="00597EBF">
      <w:pPr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>V případě,</w:t>
      </w: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 že má cizí státní příslušník 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 xml:space="preserve">v ČR platné </w:t>
      </w:r>
      <w:r w:rsidRPr="00597E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dlouhodobé pobytové oprávnění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>které potřebuje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 xml:space="preserve"> prodlouž</w:t>
      </w:r>
      <w:r>
        <w:rPr>
          <w:rFonts w:ascii="Arial" w:hAnsi="Arial" w:cs="Arial"/>
          <w:color w:val="000000"/>
          <w:sz w:val="24"/>
          <w:szCs w:val="24"/>
          <w:lang w:eastAsia="cs-CZ"/>
        </w:rPr>
        <w:t>it,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 xml:space="preserve"> postupuje </w:t>
      </w:r>
      <w:hyperlink r:id="rId6" w:history="1">
        <w:r w:rsidRPr="00597EBF">
          <w:rPr>
            <w:rFonts w:ascii="Arial" w:hAnsi="Arial" w:cs="Arial"/>
            <w:b/>
            <w:bCs/>
            <w:color w:val="000000"/>
            <w:sz w:val="24"/>
            <w:szCs w:val="24"/>
            <w:lang w:eastAsia="cs-CZ"/>
          </w:rPr>
          <w:t>standardně dle běžných pravidel</w:t>
        </w:r>
      </w:hyperlink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>.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br/>
      </w:r>
      <w:r>
        <w:rPr>
          <w:rFonts w:ascii="Arial CE" w:hAnsi="Arial CE" w:cs="Arial CE"/>
          <w:color w:val="4F4F4F"/>
          <w:sz w:val="17"/>
          <w:szCs w:val="17"/>
        </w:rPr>
        <w:br/>
      </w:r>
      <w:r w:rsidRPr="00597EBF">
        <w:rPr>
          <w:rFonts w:ascii="Arial" w:hAnsi="Arial" w:cs="Arial"/>
          <w:color w:val="000000"/>
          <w:sz w:val="24"/>
          <w:szCs w:val="24"/>
          <w:lang w:eastAsia="cs-CZ"/>
        </w:rPr>
        <w:t>Pokud má</w:t>
      </w:r>
      <w:r w:rsidRPr="00597EBF">
        <w:rPr>
          <w:rFonts w:ascii="Arial" w:hAnsi="Arial" w:cs="Arial"/>
          <w:color w:val="000000"/>
          <w:sz w:val="24"/>
          <w:szCs w:val="24"/>
          <w:lang w:eastAsia="cs-CZ"/>
        </w:rPr>
        <w:t xml:space="preserve"> v ČR platné</w:t>
      </w:r>
      <w:r w:rsidRPr="00E73B74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 pobytové oprávnění, které nelze prodloužit 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>(bezvízov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>ý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 xml:space="preserve"> styk/schengenské víz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>um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>/sezónní víz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>um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>/mimořádné pracovní víz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>um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 xml:space="preserve">) </w:t>
      </w:r>
      <w:r w:rsidRPr="00597EBF">
        <w:rPr>
          <w:rFonts w:ascii="Arial" w:hAnsi="Arial" w:cs="Arial"/>
          <w:color w:val="000000"/>
          <w:sz w:val="24"/>
          <w:szCs w:val="24"/>
          <w:lang w:eastAsia="cs-CZ"/>
        </w:rPr>
        <w:t>a jeho</w:t>
      </w:r>
      <w:r w:rsidRPr="00597EBF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="00597EBF" w:rsidRPr="00597EBF">
        <w:rPr>
          <w:rFonts w:ascii="Arial" w:hAnsi="Arial" w:cs="Arial"/>
          <w:color w:val="000000"/>
          <w:sz w:val="24"/>
          <w:szCs w:val="24"/>
          <w:lang w:eastAsia="cs-CZ"/>
        </w:rPr>
        <w:t xml:space="preserve">platnost </w:t>
      </w:r>
      <w:r w:rsidRPr="00597EBF">
        <w:rPr>
          <w:rFonts w:ascii="Arial" w:hAnsi="Arial" w:cs="Arial"/>
          <w:color w:val="000000"/>
          <w:sz w:val="24"/>
          <w:szCs w:val="24"/>
          <w:lang w:eastAsia="cs-CZ"/>
        </w:rPr>
        <w:t>vyprší za dobu kratší než 14 dnů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 xml:space="preserve"> a 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 xml:space="preserve">cizinec se 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 xml:space="preserve">nemůže kvůli konfliktu vrátit na Ukrajinu, je nutné </w:t>
      </w:r>
      <w:r w:rsidRPr="00597E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dostavit se na </w:t>
      </w:r>
      <w:hyperlink r:id="rId7" w:history="1">
        <w:r w:rsidRPr="00597EBF">
          <w:rPr>
            <w:rFonts w:ascii="Arial" w:hAnsi="Arial" w:cs="Arial"/>
            <w:b/>
            <w:bCs/>
            <w:color w:val="000000"/>
            <w:sz w:val="24"/>
            <w:szCs w:val="24"/>
            <w:lang w:eastAsia="cs-CZ"/>
          </w:rPr>
          <w:t>pracoviště MV OAMP</w:t>
        </w:r>
      </w:hyperlink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>.</w:t>
      </w:r>
      <w:r w:rsidR="00597EBF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>V návaznosti na probíhající konflikt je umožněno zažádat si o specifický druh dlouhodobého víza. Pokud má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 xml:space="preserve"> Ukrajinec</w:t>
      </w:r>
      <w:r w:rsidRPr="00E73B74">
        <w:rPr>
          <w:rFonts w:ascii="Arial" w:hAnsi="Arial" w:cs="Arial"/>
          <w:color w:val="000000"/>
          <w:sz w:val="24"/>
          <w:szCs w:val="24"/>
          <w:lang w:eastAsia="cs-CZ"/>
        </w:rPr>
        <w:t xml:space="preserve"> vyřízeno povolení k zaměstnání, může nadále pracovat.</w:t>
      </w:r>
    </w:p>
    <w:p w14:paraId="404476B3" w14:textId="1D8A8DB8" w:rsidR="00B11590" w:rsidRDefault="00B11590" w:rsidP="00597EBF">
      <w:pPr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676B8A68" w14:textId="18437E83" w:rsidR="00B11590" w:rsidRPr="00B11590" w:rsidRDefault="00B11590" w:rsidP="00597EBF">
      <w:pPr>
        <w:jc w:val="both"/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t>25. 2. 2022</w:t>
      </w:r>
    </w:p>
    <w:sectPr w:rsidR="00B11590" w:rsidRPr="00B1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A99BA" w14:textId="77777777" w:rsidR="00597EBF" w:rsidRDefault="00597EBF" w:rsidP="00597EBF">
      <w:pPr>
        <w:spacing w:after="0" w:line="240" w:lineRule="auto"/>
      </w:pPr>
      <w:r>
        <w:separator/>
      </w:r>
    </w:p>
  </w:endnote>
  <w:endnote w:type="continuationSeparator" w:id="0">
    <w:p w14:paraId="29275CD1" w14:textId="77777777" w:rsidR="00597EBF" w:rsidRDefault="00597EBF" w:rsidP="0059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065A0" w14:textId="77777777" w:rsidR="00597EBF" w:rsidRDefault="00597EBF" w:rsidP="00597EBF">
      <w:pPr>
        <w:spacing w:after="0" w:line="240" w:lineRule="auto"/>
      </w:pPr>
      <w:r>
        <w:separator/>
      </w:r>
    </w:p>
  </w:footnote>
  <w:footnote w:type="continuationSeparator" w:id="0">
    <w:p w14:paraId="2EBAF81A" w14:textId="77777777" w:rsidR="00597EBF" w:rsidRDefault="00597EBF" w:rsidP="00597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74"/>
    <w:rsid w:val="005104CD"/>
    <w:rsid w:val="00597EBF"/>
    <w:rsid w:val="00842711"/>
    <w:rsid w:val="00B11590"/>
    <w:rsid w:val="00C91177"/>
    <w:rsid w:val="00E7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C17E1"/>
  <w15:chartTrackingRefBased/>
  <w15:docId w15:val="{6D90407D-0141-4536-9132-8AEC87D8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3B7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E73B7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73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vcr.cz/clanek/sluzby-pro-verejnost-informace-pro-cizince-kontakty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vcr.cz/clanek/obcane-tretich-zemi-dlouhodoby-pobyt.aspx?q=Y2hudW09MTI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Kateřina PhDr. (MPSV)</dc:creator>
  <cp:keywords/>
  <dc:description/>
  <cp:lastModifiedBy>Štěpánková Kateřina PhDr. (MPSV)</cp:lastModifiedBy>
  <cp:revision>3</cp:revision>
  <dcterms:created xsi:type="dcterms:W3CDTF">2022-02-25T10:29:00Z</dcterms:created>
  <dcterms:modified xsi:type="dcterms:W3CDTF">2022-02-25T10:42:00Z</dcterms:modified>
</cp:coreProperties>
</file>