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A8843" w14:textId="77777777" w:rsidR="00A717AD" w:rsidRDefault="00A717AD"/>
    <w:p w14:paraId="6C41CAD6" w14:textId="77777777" w:rsidR="00B2255E" w:rsidRPr="00B411A7" w:rsidRDefault="00B2255E" w:rsidP="00B2255E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 xml:space="preserve">S t a n o v i s k o </w:t>
      </w:r>
    </w:p>
    <w:p w14:paraId="330F56E0" w14:textId="77777777" w:rsidR="00B2255E" w:rsidRPr="00EB3ACE" w:rsidRDefault="00B2255E" w:rsidP="00B2255E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Konfederace zaměstnavatelských a podnikatelských svazů ČR</w:t>
      </w:r>
    </w:p>
    <w:p w14:paraId="3F226AB2" w14:textId="00B5A50B" w:rsidR="00B2255E" w:rsidRPr="00EB3ACE" w:rsidRDefault="00C445B4" w:rsidP="00B520A6">
      <w:pPr>
        <w:jc w:val="center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k</w:t>
      </w:r>
      <w:r w:rsidR="0085374F" w:rsidRPr="00EB3ACE">
        <w:rPr>
          <w:rFonts w:asciiTheme="minorHAnsi" w:hAnsiTheme="minorHAnsi" w:cstheme="minorHAnsi"/>
          <w:b/>
          <w:bCs/>
        </w:rPr>
        <w:t xml:space="preserve"> </w:t>
      </w:r>
      <w:r w:rsidR="00B2255E" w:rsidRPr="00EB3ACE">
        <w:rPr>
          <w:rFonts w:asciiTheme="minorHAnsi" w:hAnsiTheme="minorHAnsi" w:cstheme="minorHAnsi"/>
          <w:b/>
          <w:bCs/>
        </w:rPr>
        <w:t>„</w:t>
      </w:r>
      <w:r w:rsidR="00B520A6" w:rsidRPr="00B520A6">
        <w:rPr>
          <w:rFonts w:asciiTheme="minorHAnsi" w:hAnsiTheme="minorHAnsi" w:cstheme="minorHAnsi"/>
          <w:b/>
          <w:bCs/>
        </w:rPr>
        <w:t>Národní</w:t>
      </w:r>
      <w:r w:rsidR="00B520A6">
        <w:rPr>
          <w:rFonts w:asciiTheme="minorHAnsi" w:hAnsiTheme="minorHAnsi" w:cstheme="minorHAnsi"/>
          <w:b/>
          <w:bCs/>
        </w:rPr>
        <w:t>mu</w:t>
      </w:r>
      <w:r w:rsidR="00B520A6" w:rsidRPr="00B520A6">
        <w:rPr>
          <w:rFonts w:asciiTheme="minorHAnsi" w:hAnsiTheme="minorHAnsi" w:cstheme="minorHAnsi"/>
          <w:b/>
          <w:bCs/>
        </w:rPr>
        <w:t xml:space="preserve"> akční</w:t>
      </w:r>
      <w:r w:rsidR="00B520A6">
        <w:rPr>
          <w:rFonts w:asciiTheme="minorHAnsi" w:hAnsiTheme="minorHAnsi" w:cstheme="minorHAnsi"/>
          <w:b/>
          <w:bCs/>
        </w:rPr>
        <w:t>mu</w:t>
      </w:r>
      <w:r w:rsidR="00B520A6" w:rsidRPr="00B520A6">
        <w:rPr>
          <w:rFonts w:asciiTheme="minorHAnsi" w:hAnsiTheme="minorHAnsi" w:cstheme="minorHAnsi"/>
          <w:b/>
          <w:bCs/>
        </w:rPr>
        <w:t xml:space="preserve"> plán</w:t>
      </w:r>
      <w:r w:rsidR="00AA0798">
        <w:rPr>
          <w:rFonts w:asciiTheme="minorHAnsi" w:hAnsiTheme="minorHAnsi" w:cstheme="minorHAnsi"/>
          <w:b/>
          <w:bCs/>
        </w:rPr>
        <w:t>u</w:t>
      </w:r>
      <w:r w:rsidR="00B520A6" w:rsidRPr="00B520A6">
        <w:rPr>
          <w:rFonts w:asciiTheme="minorHAnsi" w:hAnsiTheme="minorHAnsi" w:cstheme="minorHAnsi"/>
          <w:b/>
          <w:bCs/>
        </w:rPr>
        <w:t xml:space="preserve"> k bezpečnému používání pesticidů v České republice (Aktualizace pro období 2025–2029)</w:t>
      </w:r>
      <w:r w:rsidR="00FC73AF" w:rsidRPr="00FC73AF">
        <w:rPr>
          <w:rFonts w:asciiTheme="minorHAnsi" w:hAnsiTheme="minorHAnsi" w:cstheme="minorHAnsi"/>
          <w:b/>
          <w:bCs/>
        </w:rPr>
        <w:t>)</w:t>
      </w:r>
      <w:r w:rsidR="00B2255E" w:rsidRPr="00EB3ACE">
        <w:rPr>
          <w:rFonts w:asciiTheme="minorHAnsi" w:hAnsiTheme="minorHAnsi" w:cstheme="minorHAnsi"/>
          <w:b/>
          <w:bCs/>
        </w:rPr>
        <w:t>“</w:t>
      </w:r>
    </w:p>
    <w:p w14:paraId="2663FA1E" w14:textId="77777777" w:rsidR="00B2255E" w:rsidRPr="00EB3AC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</w:p>
    <w:p w14:paraId="647F275D" w14:textId="39FAB679" w:rsidR="00B2255E" w:rsidRDefault="00B2255E" w:rsidP="00B2255E">
      <w:pPr>
        <w:ind w:firstLine="708"/>
        <w:jc w:val="both"/>
        <w:rPr>
          <w:rFonts w:asciiTheme="minorHAnsi" w:hAnsiTheme="minorHAnsi" w:cstheme="minorHAnsi"/>
          <w:b/>
          <w:bCs/>
        </w:rPr>
      </w:pPr>
      <w:r w:rsidRPr="00EB3ACE">
        <w:rPr>
          <w:rFonts w:asciiTheme="minorHAnsi" w:hAnsiTheme="minorHAnsi" w:cstheme="minorHAnsi"/>
          <w:b/>
          <w:bCs/>
        </w:rPr>
        <w:t>V rámci mezirezortního připomínkového řízení jsme obdrželi výše uvedený návrh a k </w:t>
      </w:r>
      <w:r w:rsidR="00912970">
        <w:rPr>
          <w:rFonts w:asciiTheme="minorHAnsi" w:hAnsiTheme="minorHAnsi" w:cstheme="minorHAnsi"/>
          <w:b/>
          <w:bCs/>
        </w:rPr>
        <w:t>němu</w:t>
      </w:r>
      <w:r w:rsidRPr="00EB3ACE">
        <w:rPr>
          <w:rFonts w:asciiTheme="minorHAnsi" w:hAnsiTheme="minorHAnsi" w:cstheme="minorHAnsi"/>
          <w:b/>
          <w:bCs/>
        </w:rPr>
        <w:t xml:space="preserve"> Konfederace zaměstnavatelských a podnikatelských svazů ČR (KZPS ČR) uplatňuje</w:t>
      </w:r>
      <w:r w:rsidR="00104BA7" w:rsidRPr="00EB3ACE">
        <w:rPr>
          <w:rFonts w:asciiTheme="minorHAnsi" w:hAnsiTheme="minorHAnsi" w:cstheme="minorHAnsi"/>
          <w:b/>
          <w:bCs/>
        </w:rPr>
        <w:t xml:space="preserve"> </w:t>
      </w:r>
      <w:r w:rsidR="002F46E0">
        <w:rPr>
          <w:rFonts w:asciiTheme="minorHAnsi" w:hAnsiTheme="minorHAnsi" w:cstheme="minorHAnsi"/>
          <w:b/>
          <w:bCs/>
        </w:rPr>
        <w:t xml:space="preserve">následující </w:t>
      </w:r>
      <w:r w:rsidRPr="00EB3ACE">
        <w:rPr>
          <w:rFonts w:asciiTheme="minorHAnsi" w:hAnsiTheme="minorHAnsi" w:cstheme="minorHAnsi"/>
          <w:b/>
          <w:bCs/>
        </w:rPr>
        <w:t>připomínk</w:t>
      </w:r>
      <w:r w:rsidR="005C3E45">
        <w:rPr>
          <w:rFonts w:asciiTheme="minorHAnsi" w:hAnsiTheme="minorHAnsi" w:cstheme="minorHAnsi"/>
          <w:b/>
          <w:bCs/>
        </w:rPr>
        <w:t>y</w:t>
      </w:r>
      <w:r w:rsidR="002F46E0">
        <w:rPr>
          <w:rFonts w:asciiTheme="minorHAnsi" w:hAnsiTheme="minorHAnsi" w:cstheme="minorHAnsi"/>
          <w:b/>
          <w:bCs/>
        </w:rPr>
        <w:t>.</w:t>
      </w:r>
    </w:p>
    <w:p w14:paraId="6516A366" w14:textId="77777777" w:rsidR="00634C44" w:rsidRDefault="00634C44" w:rsidP="002F46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28570AA8" w14:textId="77777777" w:rsidR="00090B21" w:rsidRPr="00CB5166" w:rsidRDefault="00090B21" w:rsidP="002F46E0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14:paraId="03700BFF" w14:textId="314554A7" w:rsidR="00FF1384" w:rsidRDefault="006F0F5A" w:rsidP="009A21A4">
      <w:pPr>
        <w:pStyle w:val="Odstavecseseznamem"/>
        <w:numPr>
          <w:ilvl w:val="0"/>
          <w:numId w:val="8"/>
        </w:numPr>
        <w:snapToGrid w:val="0"/>
        <w:spacing w:before="120"/>
        <w:jc w:val="both"/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P</w:t>
      </w:r>
      <w:r w:rsidR="00FF1384" w:rsidRPr="009A21A4">
        <w:rPr>
          <w:rFonts w:cs="Calibri"/>
          <w:b/>
          <w:u w:val="single"/>
        </w:rPr>
        <w:t>řipomínky</w:t>
      </w:r>
      <w:r w:rsidR="009A21A4" w:rsidRPr="009A21A4">
        <w:rPr>
          <w:rFonts w:cs="Calibri"/>
          <w:b/>
          <w:u w:val="single"/>
        </w:rPr>
        <w:t xml:space="preserve"> KZPS ČR:</w:t>
      </w:r>
    </w:p>
    <w:p w14:paraId="66944B5B" w14:textId="77777777" w:rsidR="003C59D2" w:rsidRPr="00CB5166" w:rsidRDefault="003C59D2" w:rsidP="003C59D2">
      <w:pPr>
        <w:pStyle w:val="Odstavecseseznamem"/>
        <w:snapToGrid w:val="0"/>
        <w:spacing w:before="120"/>
        <w:jc w:val="both"/>
        <w:rPr>
          <w:rFonts w:cs="Calibri"/>
          <w:b/>
          <w:sz w:val="16"/>
          <w:szCs w:val="16"/>
          <w:u w:val="single"/>
        </w:rPr>
      </w:pPr>
    </w:p>
    <w:p w14:paraId="7C88E2BD" w14:textId="77777777" w:rsidR="00FF1384" w:rsidRPr="00FF1384" w:rsidRDefault="00FF1384" w:rsidP="00F55AEE">
      <w:pPr>
        <w:pStyle w:val="Odstavecseseznamem"/>
        <w:numPr>
          <w:ilvl w:val="0"/>
          <w:numId w:val="1"/>
        </w:numPr>
        <w:snapToGrid w:val="0"/>
        <w:spacing w:after="0" w:line="240" w:lineRule="auto"/>
        <w:ind w:left="714" w:hanging="357"/>
        <w:contextualSpacing w:val="0"/>
        <w:jc w:val="both"/>
        <w:rPr>
          <w:rFonts w:cs="Calibri"/>
          <w:b/>
          <w:sz w:val="24"/>
          <w:szCs w:val="24"/>
        </w:rPr>
      </w:pPr>
      <w:r w:rsidRPr="00FF1384">
        <w:rPr>
          <w:rFonts w:cs="Calibri"/>
          <w:b/>
          <w:sz w:val="24"/>
          <w:szCs w:val="24"/>
        </w:rPr>
        <w:t>Připomínka ke kapitole Ochrana podzemních a povrchových vod, str. 7</w:t>
      </w:r>
    </w:p>
    <w:p w14:paraId="2A6F7A34" w14:textId="77777777" w:rsidR="00FF1384" w:rsidRPr="00FF1384" w:rsidRDefault="00FF1384" w:rsidP="00F55AEE">
      <w:pPr>
        <w:snapToGrid w:val="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Třetí odstavec, větu první požadujeme upravit následujícím způsobem.</w:t>
      </w:r>
    </w:p>
    <w:p w14:paraId="11AFD504" w14:textId="77777777" w:rsidR="00FF1384" w:rsidRPr="00FF1384" w:rsidRDefault="00FF1384" w:rsidP="00F55AEE">
      <w:pPr>
        <w:snapToGrid w:val="0"/>
        <w:jc w:val="both"/>
        <w:rPr>
          <w:rFonts w:ascii="Calibri" w:hAnsi="Calibri" w:cs="Calibri"/>
          <w:b/>
          <w:i/>
          <w:iCs/>
        </w:rPr>
      </w:pPr>
      <w:r w:rsidRPr="00FF1384">
        <w:rPr>
          <w:rFonts w:ascii="Calibri" w:hAnsi="Calibri" w:cs="Calibri"/>
          <w:b/>
          <w:i/>
          <w:iCs/>
        </w:rPr>
        <w:t xml:space="preserve">„Příloha č. 3 obsahuje údaje sledované ČHMÚ v ČR v období </w:t>
      </w:r>
      <w:proofErr w:type="gramStart"/>
      <w:r w:rsidRPr="00FF1384">
        <w:rPr>
          <w:rFonts w:ascii="Calibri" w:hAnsi="Calibri" w:cs="Calibri"/>
          <w:b/>
          <w:i/>
          <w:iCs/>
        </w:rPr>
        <w:t>2018 – 2022</w:t>
      </w:r>
      <w:proofErr w:type="gramEnd"/>
      <w:r w:rsidRPr="00FF1384">
        <w:rPr>
          <w:rFonts w:ascii="Calibri" w:hAnsi="Calibri" w:cs="Calibri"/>
          <w:b/>
          <w:i/>
          <w:iCs/>
        </w:rPr>
        <w:t xml:space="preserve"> a zahrnuje četnost výskytu reziduí a maximální dosažené koncentrace v podzemních vodách s uvedením % pozitivních vzorků a % vzorků nad limit 0,1 µg/l, v příloze č. 4 se uvádí počty nalezených látek v jednotlivých monitorovacích místech povrchových a podzemních vod v ČR v období 2018 – 2022.“</w:t>
      </w:r>
    </w:p>
    <w:p w14:paraId="218BAFCE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FF1384">
        <w:rPr>
          <w:rFonts w:ascii="Calibri" w:hAnsi="Calibri" w:cs="Calibri"/>
          <w:b/>
          <w:u w:val="single"/>
        </w:rPr>
        <w:t>Odůvodnění:</w:t>
      </w:r>
    </w:p>
    <w:p w14:paraId="06E431E7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Pro úplnost je nezbytné doplnit limitní koncentraci pro pitnou vodu.</w:t>
      </w:r>
    </w:p>
    <w:p w14:paraId="7B5B2A01" w14:textId="77777777" w:rsidR="00FF1384" w:rsidRPr="00580F01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580F01">
        <w:rPr>
          <w:rFonts w:ascii="Calibri" w:hAnsi="Calibri" w:cs="Calibri"/>
          <w:b/>
          <w:u w:val="single"/>
        </w:rPr>
        <w:t>tato připomínka je zásadní</w:t>
      </w:r>
    </w:p>
    <w:p w14:paraId="73676651" w14:textId="77777777" w:rsidR="00FF1384" w:rsidRPr="00580F01" w:rsidRDefault="00FF1384" w:rsidP="00FF1384">
      <w:pPr>
        <w:pStyle w:val="Odstavecseseznamem"/>
        <w:snapToGrid w:val="0"/>
        <w:spacing w:before="120" w:after="0" w:line="240" w:lineRule="auto"/>
        <w:ind w:left="714"/>
        <w:contextualSpacing w:val="0"/>
        <w:jc w:val="both"/>
        <w:rPr>
          <w:rFonts w:cs="Calibri"/>
          <w:b/>
          <w:sz w:val="16"/>
          <w:szCs w:val="16"/>
          <w:u w:val="single"/>
        </w:rPr>
      </w:pPr>
    </w:p>
    <w:p w14:paraId="60CD184D" w14:textId="77777777" w:rsidR="00FF1384" w:rsidRPr="00FF1384" w:rsidRDefault="00FF1384" w:rsidP="00FF1384">
      <w:pPr>
        <w:pStyle w:val="Odstavecseseznamem"/>
        <w:numPr>
          <w:ilvl w:val="0"/>
          <w:numId w:val="1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F1384">
        <w:rPr>
          <w:rFonts w:cs="Calibri"/>
          <w:b/>
          <w:sz w:val="24"/>
          <w:szCs w:val="24"/>
        </w:rPr>
        <w:t>Připomínka ke kapitole Ochrana podzemních a povrchových vod, str. 9</w:t>
      </w:r>
    </w:p>
    <w:p w14:paraId="372A2AF3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Devátý odstavec požadujeme upravit následujícím způsobem.</w:t>
      </w:r>
    </w:p>
    <w:p w14:paraId="67BE721C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i/>
          <w:iCs/>
        </w:rPr>
      </w:pPr>
      <w:r w:rsidRPr="00FF1384">
        <w:rPr>
          <w:rFonts w:ascii="Calibri" w:hAnsi="Calibri" w:cs="Calibri"/>
          <w:b/>
          <w:i/>
          <w:iCs/>
        </w:rPr>
        <w:t xml:space="preserve">„Dle čl. 8 směrnice č. 2020/2184/EU o jakosti vody určené k lidské spotřebě bude muset probíhat posouzení rizik </w:t>
      </w:r>
      <w:r w:rsidRPr="00FF1384">
        <w:rPr>
          <w:rFonts w:ascii="Calibri" w:hAnsi="Calibri" w:cs="Calibri"/>
          <w:b/>
          <w:i/>
          <w:iCs/>
          <w:strike/>
        </w:rPr>
        <w:t>od přírodního zdroje po kohoutek</w:t>
      </w:r>
      <w:r w:rsidRPr="00FF1384">
        <w:rPr>
          <w:rFonts w:ascii="Calibri" w:hAnsi="Calibri" w:cs="Calibri"/>
          <w:b/>
          <w:i/>
          <w:iCs/>
        </w:rPr>
        <w:t xml:space="preserve"> povodí souvisejících s místy odběru surové vody pro výrobu vody </w:t>
      </w:r>
      <w:proofErr w:type="gramStart"/>
      <w:r w:rsidRPr="00FF1384">
        <w:rPr>
          <w:rFonts w:ascii="Calibri" w:hAnsi="Calibri" w:cs="Calibri"/>
          <w:b/>
          <w:i/>
          <w:iCs/>
        </w:rPr>
        <w:t>pitné .</w:t>
      </w:r>
      <w:proofErr w:type="gramEnd"/>
      <w:r w:rsidRPr="00FF1384">
        <w:rPr>
          <w:rFonts w:ascii="Calibri" w:hAnsi="Calibri" w:cs="Calibri"/>
          <w:b/>
          <w:i/>
          <w:iCs/>
        </w:rPr>
        <w:t xml:space="preserve"> První posouzení rizik částí povodí souvisejících s místy odběru surové vody určené k lidské spotřebě má být provedeno nejpozději do 12. 7. 2027 a v souladu s plány povodí podle vyhlášky č. 50/2023 Sb., o plánech povodí a plánech pro zvládání povodňových rizik. Poté se bude analýza opakovat v šestiletém cyklu. Na posouzení rizik částí povodí souvisejících s místy odběru surové vody určené k lidské spotřebě </w:t>
      </w:r>
      <w:r w:rsidRPr="00FF1384">
        <w:rPr>
          <w:rFonts w:ascii="Calibri" w:hAnsi="Calibri" w:cs="Calibri"/>
          <w:b/>
          <w:i/>
          <w:iCs/>
          <w:strike/>
        </w:rPr>
        <w:t>má navazovat</w:t>
      </w:r>
      <w:r w:rsidRPr="00FF1384">
        <w:rPr>
          <w:rFonts w:ascii="Calibri" w:hAnsi="Calibri" w:cs="Calibri"/>
          <w:b/>
          <w:i/>
          <w:iCs/>
        </w:rPr>
        <w:t xml:space="preserve"> navazuje posouzení a řízení rizik každého systému zásobování (vodovodu). …“</w:t>
      </w:r>
    </w:p>
    <w:p w14:paraId="102C811B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FF1384">
        <w:rPr>
          <w:rFonts w:ascii="Calibri" w:hAnsi="Calibri" w:cs="Calibri"/>
          <w:b/>
          <w:u w:val="single"/>
        </w:rPr>
        <w:t>Odůvodnění:</w:t>
      </w:r>
    </w:p>
    <w:p w14:paraId="16618FA0" w14:textId="77777777" w:rsidR="00FF1384" w:rsidRPr="00FF1384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 xml:space="preserve">Úprava textu zpřesňuje, že čl. 8 směrnice 2020/2184/EU se týká pouze posouzení rizik povodí související s místem odběru surové vody. Další je pak vysvětlující návaznost na článek 8 směrnice 2020/2184/EU – tím je navazující posouzení a řízení rizik systému zásobování pitnou vodou. </w:t>
      </w:r>
    </w:p>
    <w:p w14:paraId="37CFA40C" w14:textId="77777777" w:rsidR="00FF1384" w:rsidRPr="00580F01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580F01">
        <w:rPr>
          <w:rFonts w:ascii="Calibri" w:hAnsi="Calibri" w:cs="Calibri"/>
          <w:b/>
          <w:u w:val="single"/>
        </w:rPr>
        <w:t>tato připomínka je zásadní</w:t>
      </w:r>
    </w:p>
    <w:p w14:paraId="33D53FAB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</w:p>
    <w:p w14:paraId="16F85EC3" w14:textId="77777777" w:rsidR="00FF1384" w:rsidRPr="00FF1384" w:rsidRDefault="00FF1384" w:rsidP="00FF1384">
      <w:pPr>
        <w:pStyle w:val="Odstavecseseznamem"/>
        <w:numPr>
          <w:ilvl w:val="0"/>
          <w:numId w:val="1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F1384">
        <w:rPr>
          <w:rFonts w:cs="Calibri"/>
          <w:b/>
          <w:sz w:val="24"/>
          <w:szCs w:val="24"/>
        </w:rPr>
        <w:t xml:space="preserve">Připomínka ke kapitole Cíl II. Omezení rizik spojených s používáním přípravků pro povrchové </w:t>
      </w:r>
      <w:r w:rsidRPr="00FF1384">
        <w:rPr>
          <w:rFonts w:cs="Calibri"/>
          <w:b/>
          <w:sz w:val="24"/>
          <w:szCs w:val="24"/>
        </w:rPr>
        <w:br/>
        <w:t>a podzemní vody, Bod II.I, část Kvalitativní hodnotící ukazatele plnění cíle, str. 30</w:t>
      </w:r>
    </w:p>
    <w:p w14:paraId="515817EF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Níže uvedenou část požadujeme upravit dle odůvodnění.</w:t>
      </w:r>
    </w:p>
    <w:p w14:paraId="3B9B1566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i/>
          <w:iCs/>
        </w:rPr>
      </w:pPr>
      <w:r w:rsidRPr="00FF1384">
        <w:rPr>
          <w:rFonts w:ascii="Calibri" w:hAnsi="Calibri" w:cs="Calibri"/>
          <w:b/>
          <w:i/>
          <w:iCs/>
        </w:rPr>
        <w:t xml:space="preserve">„Hodnotitelný parametr: </w:t>
      </w:r>
    </w:p>
    <w:p w14:paraId="4790C145" w14:textId="77777777" w:rsidR="00FF1384" w:rsidRPr="00FF1384" w:rsidRDefault="00FF1384" w:rsidP="00FF1384">
      <w:pPr>
        <w:pStyle w:val="Odstavecseseznamem"/>
        <w:numPr>
          <w:ilvl w:val="0"/>
          <w:numId w:val="2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i/>
          <w:iCs/>
          <w:sz w:val="24"/>
          <w:szCs w:val="24"/>
        </w:rPr>
      </w:pPr>
      <w:r w:rsidRPr="00FF1384">
        <w:rPr>
          <w:rFonts w:cs="Calibri"/>
          <w:b/>
          <w:i/>
          <w:iCs/>
          <w:sz w:val="24"/>
          <w:szCs w:val="24"/>
        </w:rPr>
        <w:t>…</w:t>
      </w:r>
    </w:p>
    <w:p w14:paraId="17535E64" w14:textId="77777777" w:rsidR="00FF1384" w:rsidRPr="00FF1384" w:rsidRDefault="00FF1384" w:rsidP="00FF1384">
      <w:pPr>
        <w:pStyle w:val="Odstavecseseznamem"/>
        <w:numPr>
          <w:ilvl w:val="0"/>
          <w:numId w:val="2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i/>
          <w:iCs/>
          <w:sz w:val="24"/>
          <w:szCs w:val="24"/>
        </w:rPr>
      </w:pPr>
      <w:r w:rsidRPr="00FF1384">
        <w:rPr>
          <w:rFonts w:cs="Calibri"/>
          <w:b/>
          <w:i/>
          <w:iCs/>
          <w:sz w:val="24"/>
          <w:szCs w:val="24"/>
        </w:rPr>
        <w:t>Procento monitorovacích míst s nadlimitními koncentracemi ve vodách</w:t>
      </w:r>
    </w:p>
    <w:p w14:paraId="7458F280" w14:textId="77777777" w:rsidR="00FF1384" w:rsidRPr="00FF1384" w:rsidRDefault="00FF1384" w:rsidP="00FF1384">
      <w:pPr>
        <w:pStyle w:val="Odstavecseseznamem"/>
        <w:numPr>
          <w:ilvl w:val="0"/>
          <w:numId w:val="2"/>
        </w:numPr>
        <w:snapToGrid w:val="0"/>
        <w:spacing w:before="120" w:after="0" w:line="240" w:lineRule="auto"/>
        <w:contextualSpacing w:val="0"/>
        <w:jc w:val="both"/>
        <w:rPr>
          <w:rFonts w:eastAsiaTheme="minorHAnsi" w:cs="Calibri"/>
          <w:b/>
          <w:i/>
          <w:iCs/>
          <w:sz w:val="24"/>
          <w:szCs w:val="24"/>
        </w:rPr>
      </w:pPr>
      <w:r w:rsidRPr="00FF1384">
        <w:rPr>
          <w:rFonts w:cs="Calibri"/>
          <w:b/>
          <w:i/>
          <w:iCs/>
          <w:sz w:val="24"/>
          <w:szCs w:val="24"/>
        </w:rPr>
        <w:t>Procento vzorků s nadlimitními koncentracemi ve vodách“</w:t>
      </w:r>
    </w:p>
    <w:p w14:paraId="135BFFFB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</w:p>
    <w:p w14:paraId="52EB3627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FF1384">
        <w:rPr>
          <w:rFonts w:ascii="Calibri" w:hAnsi="Calibri" w:cs="Calibri"/>
          <w:b/>
          <w:u w:val="single"/>
        </w:rPr>
        <w:t>Odůvodnění:</w:t>
      </w:r>
    </w:p>
    <w:p w14:paraId="24895E18" w14:textId="77777777" w:rsidR="00FF1384" w:rsidRPr="00FF1384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Je nutné u těchto hodnotitelných parametrů upřesnit o jaké limitní koncentrace se jedná. Jestli se jedná o limit dle Směrnice pro podzemní vodu 2006/118/EC v platném znění nebo o limity pro pitnou vodu.</w:t>
      </w:r>
    </w:p>
    <w:p w14:paraId="44EB9616" w14:textId="77777777" w:rsidR="00FF1384" w:rsidRPr="00580F01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580F01">
        <w:rPr>
          <w:rFonts w:ascii="Calibri" w:hAnsi="Calibri" w:cs="Calibri"/>
          <w:b/>
          <w:u w:val="single"/>
        </w:rPr>
        <w:t>tato připomínka je zásadní</w:t>
      </w:r>
    </w:p>
    <w:p w14:paraId="1CE99BE4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</w:p>
    <w:p w14:paraId="490E41C2" w14:textId="77777777" w:rsidR="00FF1384" w:rsidRPr="00FF1384" w:rsidRDefault="00FF1384" w:rsidP="00FF1384">
      <w:pPr>
        <w:pStyle w:val="Odstavecseseznamem"/>
        <w:numPr>
          <w:ilvl w:val="0"/>
          <w:numId w:val="1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F1384">
        <w:rPr>
          <w:rFonts w:cs="Calibri"/>
          <w:b/>
          <w:sz w:val="24"/>
          <w:szCs w:val="24"/>
        </w:rPr>
        <w:t xml:space="preserve">Připomínka ke kapitole Cíl II. Omezení rizik spojených s používáním přípravků pro povrchové </w:t>
      </w:r>
      <w:r w:rsidRPr="00FF1384">
        <w:rPr>
          <w:rFonts w:cs="Calibri"/>
          <w:b/>
          <w:sz w:val="24"/>
          <w:szCs w:val="24"/>
        </w:rPr>
        <w:br/>
        <w:t>a podzemní vody, Bod II.I, část Kvalitativní hodnotící ukazatele plnění cíle, str. 30</w:t>
      </w:r>
    </w:p>
    <w:p w14:paraId="42FD97B4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Níže uvedenou část požadujeme upravit dle odůvodnění.</w:t>
      </w:r>
    </w:p>
    <w:p w14:paraId="15B1A145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i/>
          <w:iCs/>
        </w:rPr>
      </w:pPr>
      <w:r w:rsidRPr="00FF1384">
        <w:rPr>
          <w:rFonts w:ascii="Calibri" w:hAnsi="Calibri" w:cs="Calibri"/>
          <w:b/>
          <w:i/>
          <w:iCs/>
        </w:rPr>
        <w:t xml:space="preserve">„Hodnotitelný parametr: </w:t>
      </w:r>
    </w:p>
    <w:p w14:paraId="5A84957A" w14:textId="77777777" w:rsidR="00FF1384" w:rsidRPr="00FF1384" w:rsidRDefault="00FF1384" w:rsidP="00FF1384">
      <w:pPr>
        <w:pStyle w:val="Odstavecseseznamem"/>
        <w:numPr>
          <w:ilvl w:val="0"/>
          <w:numId w:val="3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i/>
          <w:iCs/>
          <w:sz w:val="24"/>
          <w:szCs w:val="24"/>
        </w:rPr>
      </w:pPr>
      <w:r w:rsidRPr="00FF1384">
        <w:rPr>
          <w:rFonts w:cs="Calibri"/>
          <w:b/>
          <w:i/>
          <w:iCs/>
          <w:sz w:val="24"/>
          <w:szCs w:val="24"/>
        </w:rPr>
        <w:t>…</w:t>
      </w:r>
    </w:p>
    <w:p w14:paraId="2B67591D" w14:textId="77777777" w:rsidR="00FF1384" w:rsidRPr="00FF1384" w:rsidRDefault="00FF1384" w:rsidP="00FF1384">
      <w:pPr>
        <w:pStyle w:val="Odstavecseseznamem"/>
        <w:numPr>
          <w:ilvl w:val="0"/>
          <w:numId w:val="3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i/>
          <w:iCs/>
          <w:sz w:val="24"/>
          <w:szCs w:val="24"/>
        </w:rPr>
      </w:pPr>
      <w:r w:rsidRPr="00FF1384">
        <w:rPr>
          <w:rFonts w:cs="Calibri"/>
          <w:b/>
          <w:i/>
          <w:iCs/>
          <w:sz w:val="24"/>
          <w:szCs w:val="24"/>
        </w:rPr>
        <w:t xml:space="preserve">Procento monitorovacích míst s nadlimitními koncentracemi </w:t>
      </w:r>
    </w:p>
    <w:p w14:paraId="36D287AD" w14:textId="77777777" w:rsidR="00FF1384" w:rsidRPr="00FF1384" w:rsidRDefault="00FF1384" w:rsidP="00FF1384">
      <w:pPr>
        <w:pStyle w:val="Odstavecseseznamem"/>
        <w:numPr>
          <w:ilvl w:val="0"/>
          <w:numId w:val="3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i/>
          <w:iCs/>
          <w:sz w:val="24"/>
          <w:szCs w:val="24"/>
        </w:rPr>
      </w:pPr>
      <w:r w:rsidRPr="00FF1384">
        <w:rPr>
          <w:rFonts w:cs="Calibri"/>
          <w:b/>
          <w:i/>
          <w:iCs/>
          <w:sz w:val="24"/>
          <w:szCs w:val="24"/>
        </w:rPr>
        <w:t xml:space="preserve">Procento vzorků s nadlimitními koncentracemi“ </w:t>
      </w:r>
    </w:p>
    <w:p w14:paraId="45ABBF08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</w:p>
    <w:p w14:paraId="68CC5ECF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FF1384">
        <w:rPr>
          <w:rFonts w:ascii="Calibri" w:hAnsi="Calibri" w:cs="Calibri"/>
          <w:b/>
          <w:u w:val="single"/>
        </w:rPr>
        <w:t>Odůvodnění:</w:t>
      </w:r>
    </w:p>
    <w:p w14:paraId="035E214A" w14:textId="77777777" w:rsidR="00FF1384" w:rsidRPr="00FF1384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Je nutné u těchto hodnotitelných parametrů upřesnit o jaké limitní koncentrace se jedná. Z kontextu vyplývá, že se jedná o NEK pro jednotlivé pesticidy a vybrané metabolity pesticidů.</w:t>
      </w:r>
    </w:p>
    <w:p w14:paraId="4D2FD18C" w14:textId="77777777" w:rsidR="00FF1384" w:rsidRPr="00580F01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580F01">
        <w:rPr>
          <w:rFonts w:ascii="Calibri" w:hAnsi="Calibri" w:cs="Calibri"/>
          <w:b/>
          <w:u w:val="single"/>
        </w:rPr>
        <w:t>tato připomínka je zásadní</w:t>
      </w:r>
    </w:p>
    <w:p w14:paraId="3E86D481" w14:textId="77777777" w:rsidR="00FF1384" w:rsidRPr="00580F01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</w:p>
    <w:p w14:paraId="5593413D" w14:textId="77777777" w:rsidR="00FF1384" w:rsidRPr="00FF1384" w:rsidRDefault="00FF1384" w:rsidP="00FF1384">
      <w:pPr>
        <w:pStyle w:val="Odstavecseseznamem"/>
        <w:numPr>
          <w:ilvl w:val="0"/>
          <w:numId w:val="1"/>
        </w:numPr>
        <w:snapToGrid w:val="0"/>
        <w:spacing w:before="120" w:after="0" w:line="240" w:lineRule="auto"/>
        <w:contextualSpacing w:val="0"/>
        <w:jc w:val="both"/>
        <w:rPr>
          <w:rFonts w:cs="Calibri"/>
          <w:b/>
          <w:sz w:val="24"/>
          <w:szCs w:val="24"/>
        </w:rPr>
      </w:pPr>
      <w:r w:rsidRPr="00FF1384">
        <w:rPr>
          <w:rFonts w:cs="Calibri"/>
          <w:b/>
          <w:sz w:val="24"/>
          <w:szCs w:val="24"/>
        </w:rPr>
        <w:t xml:space="preserve">Připomínka ke kapitole Cíl II. Omezení rizik spojených s používáním přípravků pro povrchové </w:t>
      </w:r>
      <w:r w:rsidRPr="00FF1384">
        <w:rPr>
          <w:rFonts w:cs="Calibri"/>
          <w:b/>
          <w:sz w:val="24"/>
          <w:szCs w:val="24"/>
        </w:rPr>
        <w:br/>
        <w:t>a podzemní vody, Bod II.I, část Kvalitativní hodnotící ukazatele plnění cíle, str. 30</w:t>
      </w:r>
    </w:p>
    <w:p w14:paraId="0D3A9BFA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Níže uvedenou část požadujeme upravit dle odůvodnění.</w:t>
      </w:r>
    </w:p>
    <w:p w14:paraId="1C7E7EFE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i/>
          <w:iCs/>
        </w:rPr>
      </w:pPr>
      <w:r w:rsidRPr="00FF1384">
        <w:rPr>
          <w:rFonts w:ascii="Calibri" w:hAnsi="Calibri" w:cs="Calibri"/>
          <w:b/>
          <w:i/>
          <w:iCs/>
        </w:rPr>
        <w:lastRenderedPageBreak/>
        <w:t>„Hodnotitelný parametr: … počet zásobovaných obyvatel z individuálních zdrojů s nadlimitním obsahem reziduí POR (srovnání 2022 a 2029)“</w:t>
      </w:r>
    </w:p>
    <w:p w14:paraId="3BDAA074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FF1384">
        <w:rPr>
          <w:rFonts w:ascii="Calibri" w:hAnsi="Calibri" w:cs="Calibri"/>
          <w:b/>
          <w:u w:val="single"/>
        </w:rPr>
        <w:t>Odůvodnění:</w:t>
      </w:r>
    </w:p>
    <w:p w14:paraId="4D4A553C" w14:textId="77777777" w:rsidR="00FF1384" w:rsidRPr="00FF1384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</w:rPr>
      </w:pPr>
      <w:r w:rsidRPr="00FF1384">
        <w:rPr>
          <w:rFonts w:ascii="Calibri" w:hAnsi="Calibri" w:cs="Calibri"/>
          <w:b/>
        </w:rPr>
        <w:t>Kvalita vody z individuálních zdrojů není nikde podchycena. Toto nelze hodnotit, navrhujeme proto vypustit a ponechat pouze zásobování z veřejných vodovodů, kde je možné počet zásobovaných obyvatel stanovit.</w:t>
      </w:r>
    </w:p>
    <w:p w14:paraId="37B4C97F" w14:textId="77777777" w:rsidR="00FF1384" w:rsidRPr="00580F01" w:rsidRDefault="00FF1384" w:rsidP="00FF1384">
      <w:pPr>
        <w:pBdr>
          <w:bottom w:val="single" w:sz="4" w:space="1" w:color="auto"/>
        </w:pBdr>
        <w:snapToGrid w:val="0"/>
        <w:spacing w:before="120"/>
        <w:jc w:val="both"/>
        <w:rPr>
          <w:rFonts w:ascii="Calibri" w:hAnsi="Calibri" w:cs="Calibri"/>
          <w:b/>
          <w:u w:val="single"/>
        </w:rPr>
      </w:pPr>
      <w:r w:rsidRPr="00580F01">
        <w:rPr>
          <w:rFonts w:ascii="Calibri" w:hAnsi="Calibri" w:cs="Calibri"/>
          <w:b/>
          <w:u w:val="single"/>
        </w:rPr>
        <w:t>tato připomínka je zásadní</w:t>
      </w:r>
    </w:p>
    <w:p w14:paraId="2DA2D9CA" w14:textId="77777777" w:rsidR="00FF1384" w:rsidRPr="00FF1384" w:rsidRDefault="00FF1384" w:rsidP="00FF1384">
      <w:pPr>
        <w:snapToGrid w:val="0"/>
        <w:spacing w:before="120"/>
        <w:jc w:val="both"/>
        <w:rPr>
          <w:rFonts w:ascii="Calibri" w:hAnsi="Calibri" w:cs="Calibri"/>
          <w:b/>
        </w:rPr>
      </w:pPr>
    </w:p>
    <w:p w14:paraId="5B89ED41" w14:textId="77777777" w:rsidR="00FF1384" w:rsidRDefault="00FF1384" w:rsidP="00FF1384">
      <w:pPr>
        <w:snapToGrid w:val="0"/>
        <w:spacing w:before="120"/>
        <w:rPr>
          <w:highlight w:val="yellow"/>
        </w:rPr>
      </w:pPr>
    </w:p>
    <w:p w14:paraId="3C6207F8" w14:textId="77777777" w:rsidR="00EB3ACE" w:rsidRPr="00A96061" w:rsidRDefault="00EB3ACE" w:rsidP="00860F6C">
      <w:pPr>
        <w:rPr>
          <w:rFonts w:asciiTheme="minorHAnsi" w:hAnsiTheme="minorHAnsi" w:cstheme="minorHAnsi"/>
          <w:b/>
          <w:bCs/>
        </w:rPr>
      </w:pPr>
    </w:p>
    <w:p w14:paraId="0724E386" w14:textId="12680A5B" w:rsidR="00860F6C" w:rsidRPr="00A96061" w:rsidRDefault="00860F6C" w:rsidP="00F671BE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A96061">
        <w:rPr>
          <w:rFonts w:asciiTheme="minorHAnsi" w:hAnsiTheme="minorHAnsi" w:cstheme="minorHAnsi"/>
          <w:b/>
          <w:bCs/>
          <w:u w:val="single"/>
        </w:rPr>
        <w:t>Kontaktní osoby:</w:t>
      </w:r>
    </w:p>
    <w:p w14:paraId="2D394527" w14:textId="77777777" w:rsidR="00860F6C" w:rsidRPr="00A96061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72DB0274" w14:textId="5475DE38" w:rsidR="00FC73AF" w:rsidRPr="00A96061" w:rsidRDefault="00FC73AF" w:rsidP="00F671BE">
      <w:pPr>
        <w:jc w:val="both"/>
        <w:rPr>
          <w:rFonts w:asciiTheme="minorHAnsi" w:hAnsiTheme="minorHAnsi" w:cstheme="minorHAnsi"/>
          <w:b/>
          <w:bCs/>
        </w:rPr>
      </w:pPr>
      <w:r w:rsidRPr="00A96061">
        <w:rPr>
          <w:rFonts w:asciiTheme="minorHAnsi" w:hAnsiTheme="minorHAnsi" w:cstheme="minorHAnsi"/>
          <w:b/>
          <w:bCs/>
        </w:rPr>
        <w:t>Barbora Fürstová</w:t>
      </w:r>
      <w:r w:rsidR="00A6223F" w:rsidRPr="00A96061">
        <w:rPr>
          <w:rFonts w:asciiTheme="minorHAnsi" w:hAnsiTheme="minorHAnsi" w:cstheme="minorHAnsi"/>
          <w:b/>
          <w:bCs/>
        </w:rPr>
        <w:t xml:space="preserve"> (SOVAK</w:t>
      </w:r>
      <w:r w:rsidR="00AB1911" w:rsidRPr="00A96061">
        <w:rPr>
          <w:rFonts w:asciiTheme="minorHAnsi" w:hAnsiTheme="minorHAnsi" w:cstheme="minorHAnsi"/>
          <w:b/>
          <w:bCs/>
        </w:rPr>
        <w:t>)</w:t>
      </w:r>
      <w:r w:rsidRPr="00A96061">
        <w:rPr>
          <w:rFonts w:asciiTheme="minorHAnsi" w:hAnsiTheme="minorHAnsi" w:cstheme="minorHAnsi"/>
          <w:b/>
          <w:bCs/>
        </w:rPr>
        <w:tab/>
        <w:t>e-mail:</w:t>
      </w:r>
      <w:r w:rsidRPr="00A96061">
        <w:rPr>
          <w:rFonts w:asciiTheme="minorHAnsi" w:hAnsiTheme="minorHAnsi" w:cstheme="minorHAnsi"/>
          <w:b/>
          <w:bCs/>
        </w:rPr>
        <w:tab/>
      </w:r>
      <w:hyperlink r:id="rId10" w:history="1">
        <w:r w:rsidRPr="00A96061">
          <w:rPr>
            <w:rStyle w:val="Hypertextovodkaz"/>
            <w:rFonts w:asciiTheme="minorHAnsi" w:hAnsiTheme="minorHAnsi" w:cstheme="minorHAnsi"/>
            <w:b/>
            <w:bCs/>
          </w:rPr>
          <w:t>furstova@sovak.cz</w:t>
        </w:r>
      </w:hyperlink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  <w:t>mob:</w:t>
      </w:r>
      <w:r w:rsidRPr="00A96061">
        <w:rPr>
          <w:rFonts w:asciiTheme="minorHAnsi" w:hAnsiTheme="minorHAnsi" w:cstheme="minorHAnsi"/>
          <w:b/>
          <w:bCs/>
        </w:rPr>
        <w:tab/>
        <w:t>739 55 66 56</w:t>
      </w:r>
    </w:p>
    <w:p w14:paraId="7840C288" w14:textId="0379CDDB" w:rsidR="00860F6C" w:rsidRPr="00A96061" w:rsidRDefault="00860F6C" w:rsidP="00F671BE">
      <w:pPr>
        <w:jc w:val="both"/>
        <w:rPr>
          <w:rFonts w:asciiTheme="minorHAnsi" w:hAnsiTheme="minorHAnsi" w:cstheme="minorHAnsi"/>
          <w:b/>
          <w:bCs/>
        </w:rPr>
      </w:pPr>
      <w:r w:rsidRPr="00A96061">
        <w:rPr>
          <w:rFonts w:asciiTheme="minorHAnsi" w:hAnsiTheme="minorHAnsi" w:cstheme="minorHAnsi"/>
          <w:b/>
          <w:bCs/>
        </w:rPr>
        <w:t>Dr. Jan Zikeš</w:t>
      </w:r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  <w:t>e-mail:</w:t>
      </w:r>
      <w:r w:rsidRPr="00A96061">
        <w:rPr>
          <w:rFonts w:asciiTheme="minorHAnsi" w:hAnsiTheme="minorHAnsi" w:cstheme="minorHAnsi"/>
          <w:b/>
          <w:bCs/>
        </w:rPr>
        <w:tab/>
      </w:r>
      <w:hyperlink r:id="rId11" w:history="1">
        <w:r w:rsidRPr="00A96061">
          <w:rPr>
            <w:rStyle w:val="Hypertextovodkaz"/>
            <w:rFonts w:asciiTheme="minorHAnsi" w:hAnsiTheme="minorHAnsi" w:cstheme="minorHAnsi"/>
            <w:b/>
            <w:bCs/>
          </w:rPr>
          <w:t>zikes@kzps.cz</w:t>
        </w:r>
      </w:hyperlink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</w:r>
      <w:r w:rsidRPr="00A96061">
        <w:rPr>
          <w:rFonts w:asciiTheme="minorHAnsi" w:hAnsiTheme="minorHAnsi" w:cstheme="minorHAnsi"/>
          <w:b/>
          <w:bCs/>
        </w:rPr>
        <w:tab/>
      </w:r>
      <w:r w:rsidR="0083185E" w:rsidRPr="00A96061">
        <w:rPr>
          <w:rFonts w:asciiTheme="minorHAnsi" w:hAnsiTheme="minorHAnsi" w:cstheme="minorHAnsi"/>
          <w:b/>
          <w:bCs/>
        </w:rPr>
        <w:t>mob:</w:t>
      </w:r>
      <w:r w:rsidRPr="00A96061">
        <w:rPr>
          <w:rFonts w:asciiTheme="minorHAnsi" w:hAnsiTheme="minorHAnsi" w:cstheme="minorHAnsi"/>
          <w:b/>
          <w:bCs/>
        </w:rPr>
        <w:tab/>
      </w:r>
      <w:r w:rsidR="0083185E" w:rsidRPr="00A96061">
        <w:rPr>
          <w:rFonts w:asciiTheme="minorHAnsi" w:hAnsiTheme="minorHAnsi" w:cstheme="minorHAnsi"/>
          <w:b/>
          <w:bCs/>
        </w:rPr>
        <w:t>775 15 77 50</w:t>
      </w:r>
    </w:p>
    <w:p w14:paraId="6773C79A" w14:textId="77777777" w:rsidR="00860F6C" w:rsidRPr="00A96061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5FBD43DF" w14:textId="77777777" w:rsidR="00860F6C" w:rsidRPr="00A96061" w:rsidRDefault="00860F6C" w:rsidP="00F671BE">
      <w:pPr>
        <w:jc w:val="both"/>
        <w:rPr>
          <w:rFonts w:asciiTheme="minorHAnsi" w:hAnsiTheme="minorHAnsi" w:cstheme="minorHAnsi"/>
          <w:b/>
          <w:bCs/>
        </w:rPr>
      </w:pPr>
    </w:p>
    <w:p w14:paraId="7AE1B58C" w14:textId="417195F1" w:rsidR="00860F6C" w:rsidRPr="00A96061" w:rsidRDefault="00860F6C" w:rsidP="00860F6C">
      <w:pPr>
        <w:jc w:val="both"/>
        <w:rPr>
          <w:rFonts w:asciiTheme="minorHAnsi" w:hAnsiTheme="minorHAnsi" w:cstheme="minorHAnsi"/>
          <w:b/>
          <w:bCs/>
        </w:rPr>
      </w:pPr>
      <w:r w:rsidRPr="00A96061">
        <w:rPr>
          <w:rFonts w:asciiTheme="minorHAnsi" w:hAnsiTheme="minorHAnsi" w:cstheme="minorHAnsi"/>
          <w:b/>
          <w:bCs/>
        </w:rPr>
        <w:t xml:space="preserve">V Praze dne </w:t>
      </w:r>
      <w:r w:rsidR="00FC73AF" w:rsidRPr="00A96061">
        <w:rPr>
          <w:rFonts w:asciiTheme="minorHAnsi" w:hAnsiTheme="minorHAnsi" w:cstheme="minorHAnsi"/>
          <w:b/>
          <w:bCs/>
        </w:rPr>
        <w:t>1</w:t>
      </w:r>
      <w:r w:rsidR="00090B21">
        <w:rPr>
          <w:rFonts w:asciiTheme="minorHAnsi" w:hAnsiTheme="minorHAnsi" w:cstheme="minorHAnsi"/>
          <w:b/>
          <w:bCs/>
        </w:rPr>
        <w:t>2</w:t>
      </w:r>
      <w:r w:rsidR="00FC73AF" w:rsidRPr="00A96061">
        <w:rPr>
          <w:rFonts w:asciiTheme="minorHAnsi" w:hAnsiTheme="minorHAnsi" w:cstheme="minorHAnsi"/>
          <w:b/>
          <w:bCs/>
        </w:rPr>
        <w:t>. prosince</w:t>
      </w:r>
      <w:r w:rsidR="0083185E" w:rsidRPr="00A96061">
        <w:rPr>
          <w:rFonts w:asciiTheme="minorHAnsi" w:hAnsiTheme="minorHAnsi" w:cstheme="minorHAnsi"/>
          <w:b/>
          <w:bCs/>
        </w:rPr>
        <w:t xml:space="preserve"> </w:t>
      </w:r>
      <w:r w:rsidRPr="00A96061">
        <w:rPr>
          <w:rFonts w:asciiTheme="minorHAnsi" w:hAnsiTheme="minorHAnsi" w:cstheme="minorHAnsi"/>
          <w:b/>
          <w:bCs/>
        </w:rPr>
        <w:t>2024</w:t>
      </w:r>
    </w:p>
    <w:p w14:paraId="3FFEBF82" w14:textId="77777777" w:rsidR="00860F6C" w:rsidRPr="00A96061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647EC48" w14:textId="77777777" w:rsidR="00860F6C" w:rsidRPr="00A96061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3AFEF127" w14:textId="5881E32F" w:rsidR="005E2C26" w:rsidRPr="00A96061" w:rsidRDefault="005E2C26" w:rsidP="00860F6C">
      <w:pPr>
        <w:jc w:val="both"/>
        <w:rPr>
          <w:rFonts w:asciiTheme="minorHAnsi" w:hAnsiTheme="minorHAnsi" w:cstheme="minorHAnsi"/>
          <w:b/>
          <w:bCs/>
        </w:rPr>
      </w:pPr>
    </w:p>
    <w:p w14:paraId="60403B21" w14:textId="77777777" w:rsidR="00860F6C" w:rsidRPr="00A96061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p w14:paraId="1B294AF1" w14:textId="77777777" w:rsidR="00860F6C" w:rsidRPr="00A96061" w:rsidRDefault="00860F6C" w:rsidP="00860F6C">
      <w:pPr>
        <w:jc w:val="right"/>
        <w:rPr>
          <w:rFonts w:asciiTheme="minorHAnsi" w:hAnsiTheme="minorHAnsi" w:cstheme="minorHAnsi"/>
          <w:b/>
          <w:bCs/>
        </w:rPr>
      </w:pPr>
      <w:r w:rsidRPr="00A96061">
        <w:rPr>
          <w:rFonts w:asciiTheme="minorHAnsi" w:hAnsiTheme="minorHAnsi" w:cstheme="minorHAnsi"/>
          <w:b/>
          <w:bCs/>
        </w:rPr>
        <w:t xml:space="preserve">Ing. Jiří Horecký, Ph.D., </w:t>
      </w:r>
      <w:proofErr w:type="spellStart"/>
      <w:r w:rsidRPr="00A96061">
        <w:rPr>
          <w:rFonts w:asciiTheme="minorHAnsi" w:hAnsiTheme="minorHAnsi" w:cstheme="minorHAnsi"/>
          <w:b/>
          <w:bCs/>
        </w:rPr>
        <w:t>MSc</w:t>
      </w:r>
      <w:proofErr w:type="spellEnd"/>
      <w:r w:rsidRPr="00A96061">
        <w:rPr>
          <w:rFonts w:asciiTheme="minorHAnsi" w:hAnsiTheme="minorHAnsi" w:cstheme="minorHAnsi"/>
          <w:b/>
          <w:bCs/>
        </w:rPr>
        <w:t>., MBA</w:t>
      </w:r>
    </w:p>
    <w:p w14:paraId="193D821D" w14:textId="3B9E05C7" w:rsidR="00860F6C" w:rsidRPr="00A96061" w:rsidRDefault="00860F6C" w:rsidP="000628AA">
      <w:pPr>
        <w:ind w:left="6372"/>
        <w:jc w:val="both"/>
        <w:rPr>
          <w:rFonts w:asciiTheme="minorHAnsi" w:hAnsiTheme="minorHAnsi" w:cstheme="minorHAnsi"/>
          <w:b/>
          <w:bCs/>
        </w:rPr>
      </w:pPr>
      <w:r w:rsidRPr="00A96061">
        <w:rPr>
          <w:rFonts w:asciiTheme="minorHAnsi" w:hAnsiTheme="minorHAnsi" w:cstheme="minorHAnsi"/>
          <w:b/>
          <w:bCs/>
        </w:rPr>
        <w:t xml:space="preserve">      p r e z i d e n t</w:t>
      </w:r>
    </w:p>
    <w:p w14:paraId="67B54C27" w14:textId="77777777" w:rsidR="00860F6C" w:rsidRDefault="00860F6C" w:rsidP="00860F6C">
      <w:pPr>
        <w:jc w:val="both"/>
        <w:rPr>
          <w:rFonts w:asciiTheme="minorHAnsi" w:hAnsiTheme="minorHAnsi" w:cstheme="minorHAnsi"/>
          <w:b/>
          <w:bCs/>
        </w:rPr>
      </w:pPr>
    </w:p>
    <w:sectPr w:rsidR="00860F6C" w:rsidSect="00E070C3">
      <w:headerReference w:type="default" r:id="rId12"/>
      <w:footerReference w:type="default" r:id="rId13"/>
      <w:pgSz w:w="11906" w:h="16838"/>
      <w:pgMar w:top="1737" w:right="1417" w:bottom="1977" w:left="1417" w:header="708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3E16CB" w14:textId="77777777" w:rsidR="003E71B5" w:rsidRDefault="003E71B5" w:rsidP="00A717AD">
      <w:r>
        <w:separator/>
      </w:r>
    </w:p>
  </w:endnote>
  <w:endnote w:type="continuationSeparator" w:id="0">
    <w:p w14:paraId="2BA9CA9A" w14:textId="77777777" w:rsidR="003E71B5" w:rsidRDefault="003E71B5" w:rsidP="00A7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imbus Sans No5 T OT">
    <w:altName w:val="Calibri"/>
    <w:panose1 w:val="00000000000000000000"/>
    <w:charset w:val="00"/>
    <w:family w:val="modern"/>
    <w:notTrueType/>
    <w:pitch w:val="variable"/>
    <w:sig w:usb0="800002AF" w:usb1="500078E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E975F7" w14:textId="562DD710" w:rsidR="00E070C3" w:rsidRDefault="00C12B09" w:rsidP="00E070C3">
    <w:pPr>
      <w:pStyle w:val="Zpat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08198297" wp14:editId="20881860">
          <wp:simplePos x="0" y="0"/>
          <wp:positionH relativeFrom="column">
            <wp:posOffset>-66675</wp:posOffset>
          </wp:positionH>
          <wp:positionV relativeFrom="page">
            <wp:posOffset>9559290</wp:posOffset>
          </wp:positionV>
          <wp:extent cx="809625" cy="849630"/>
          <wp:effectExtent l="0" t="0" r="9525" b="7620"/>
          <wp:wrapNone/>
          <wp:docPr id="125347293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916574" name="Obrázek 120491657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AEE2E01" w14:textId="6157D831" w:rsidR="00A717AD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KZPS ČR</w:t>
    </w:r>
  </w:p>
  <w:p w14:paraId="59383A83" w14:textId="6AA8B5BC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Václavské náměstí 831/21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="00C84C24" w:rsidRPr="009322C4">
      <w:rPr>
        <w:rFonts w:ascii="Nimbus Sans No5 T OT" w:hAnsi="Nimbus Sans No5 T OT" w:cstheme="minorHAnsi"/>
        <w:color w:val="12467F"/>
        <w:sz w:val="18"/>
        <w:szCs w:val="18"/>
      </w:rPr>
      <w:t>T: +420</w:t>
    </w:r>
    <w:r w:rsidR="00D32A58">
      <w:rPr>
        <w:rFonts w:ascii="Nimbus Sans No5 T OT" w:hAnsi="Nimbus Sans No5 T OT" w:cstheme="minorHAnsi"/>
        <w:color w:val="12467F"/>
        <w:sz w:val="18"/>
        <w:szCs w:val="18"/>
      </w:rPr>
      <w:t> 775 15 77 50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IČ: 496 27</w:t>
    </w:r>
    <w:r w:rsidR="00E070C3" w:rsidRPr="009322C4">
      <w:rPr>
        <w:rFonts w:ascii="Nimbus Sans No5 T OT" w:hAnsi="Nimbus Sans No5 T OT" w:cstheme="minorHAnsi"/>
        <w:color w:val="12467F"/>
        <w:sz w:val="18"/>
        <w:szCs w:val="18"/>
      </w:rPr>
      <w:t> 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>325</w:t>
    </w:r>
  </w:p>
  <w:p w14:paraId="72544A4A" w14:textId="50255DA0" w:rsidR="00C12B09" w:rsidRPr="009322C4" w:rsidRDefault="00C12B09" w:rsidP="00E070C3">
    <w:pPr>
      <w:pStyle w:val="Zpat"/>
      <w:tabs>
        <w:tab w:val="clear" w:pos="4536"/>
        <w:tab w:val="clear" w:pos="9072"/>
      </w:tabs>
      <w:ind w:left="708" w:firstLine="708"/>
      <w:rPr>
        <w:rFonts w:ascii="Nimbus Sans No5 T OT" w:hAnsi="Nimbus Sans No5 T OT" w:cstheme="minorHAnsi"/>
        <w:color w:val="12467F"/>
        <w:sz w:val="18"/>
        <w:szCs w:val="18"/>
      </w:rPr>
    </w:pPr>
    <w:r w:rsidRPr="009322C4">
      <w:rPr>
        <w:rFonts w:ascii="Nimbus Sans No5 T OT" w:hAnsi="Nimbus Sans No5 T OT" w:cstheme="minorHAnsi"/>
        <w:color w:val="12467F"/>
        <w:sz w:val="18"/>
        <w:szCs w:val="18"/>
      </w:rPr>
      <w:t>110 00 Praha 1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e-mail: kzps@kzps.cz</w:t>
    </w:r>
    <w:r w:rsidRPr="009322C4">
      <w:rPr>
        <w:rFonts w:ascii="Nimbus Sans No5 T OT" w:hAnsi="Nimbus Sans No5 T OT" w:cstheme="minorHAnsi"/>
        <w:color w:val="12467F"/>
        <w:sz w:val="18"/>
        <w:szCs w:val="18"/>
      </w:rPr>
      <w:tab/>
      <w:t>www.kzps.cz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7312E" w14:textId="77777777" w:rsidR="003E71B5" w:rsidRDefault="003E71B5" w:rsidP="00A717AD">
      <w:r>
        <w:separator/>
      </w:r>
    </w:p>
  </w:footnote>
  <w:footnote w:type="continuationSeparator" w:id="0">
    <w:p w14:paraId="5D2C1EE6" w14:textId="77777777" w:rsidR="003E71B5" w:rsidRDefault="003E71B5" w:rsidP="00A7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2CDE3" w14:textId="3FE2BD85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noProof/>
        <w:color w:val="12467F"/>
      </w:rPr>
      <w:drawing>
        <wp:anchor distT="0" distB="0" distL="114300" distR="114300" simplePos="0" relativeHeight="251658240" behindDoc="1" locked="0" layoutInCell="1" allowOverlap="1" wp14:anchorId="54D04E75" wp14:editId="0AB894B0">
          <wp:simplePos x="0" y="0"/>
          <wp:positionH relativeFrom="column">
            <wp:posOffset>4357370</wp:posOffset>
          </wp:positionH>
          <wp:positionV relativeFrom="paragraph">
            <wp:posOffset>-89535</wp:posOffset>
          </wp:positionV>
          <wp:extent cx="1299210" cy="798830"/>
          <wp:effectExtent l="0" t="0" r="0" b="1270"/>
          <wp:wrapNone/>
          <wp:docPr id="11029114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821047" name="Obrázek 171482104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9210" cy="7988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322C4">
      <w:rPr>
        <w:rFonts w:ascii="Nimbus Sans No5 T OT" w:hAnsi="Nimbus Sans No5 T OT" w:cstheme="minorHAnsi"/>
        <w:color w:val="12467F"/>
      </w:rPr>
      <w:t xml:space="preserve">KONFEDERACE ZAMĚSTNAVATELSKÝCH </w:t>
    </w:r>
  </w:p>
  <w:p w14:paraId="672C26D4" w14:textId="4D1303FD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A PODNIKATELSKÝCH SVAZŮ</w:t>
    </w:r>
  </w:p>
  <w:p w14:paraId="527C8938" w14:textId="77DFAECF" w:rsidR="00A717AD" w:rsidRPr="009322C4" w:rsidRDefault="00A717AD" w:rsidP="00A717AD">
    <w:pPr>
      <w:pStyle w:val="Zhlav"/>
      <w:rPr>
        <w:rFonts w:ascii="Nimbus Sans No5 T OT" w:hAnsi="Nimbus Sans No5 T OT" w:cstheme="minorHAnsi"/>
        <w:color w:val="12467F"/>
      </w:rPr>
    </w:pPr>
    <w:r w:rsidRPr="009322C4">
      <w:rPr>
        <w:rFonts w:ascii="Nimbus Sans No5 T OT" w:hAnsi="Nimbus Sans No5 T OT" w:cstheme="minorHAnsi"/>
        <w:color w:val="12467F"/>
      </w:rPr>
      <w:t>ČESKÉ REPUBLIKY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5F6675"/>
    <w:multiLevelType w:val="hybridMultilevel"/>
    <w:tmpl w:val="DF3CBC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ED55EF"/>
    <w:multiLevelType w:val="hybridMultilevel"/>
    <w:tmpl w:val="1B3C2C62"/>
    <w:lvl w:ilvl="0" w:tplc="0405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D060E6"/>
    <w:multiLevelType w:val="hybridMultilevel"/>
    <w:tmpl w:val="7692409A"/>
    <w:lvl w:ilvl="0" w:tplc="8416E9F2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F0585"/>
    <w:multiLevelType w:val="hybridMultilevel"/>
    <w:tmpl w:val="18642902"/>
    <w:lvl w:ilvl="0" w:tplc="02C8F6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57748"/>
    <w:multiLevelType w:val="hybridMultilevel"/>
    <w:tmpl w:val="8D72D64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92DC3"/>
    <w:multiLevelType w:val="hybridMultilevel"/>
    <w:tmpl w:val="D2B02A10"/>
    <w:lvl w:ilvl="0" w:tplc="801E7A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D9756C"/>
    <w:multiLevelType w:val="hybridMultilevel"/>
    <w:tmpl w:val="DA14B3F6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6FBA0D4C"/>
    <w:multiLevelType w:val="hybridMultilevel"/>
    <w:tmpl w:val="43A6A0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509721">
    <w:abstractNumId w:val="3"/>
  </w:num>
  <w:num w:numId="2" w16cid:durableId="1881817910">
    <w:abstractNumId w:val="6"/>
  </w:num>
  <w:num w:numId="3" w16cid:durableId="1190335859">
    <w:abstractNumId w:val="0"/>
  </w:num>
  <w:num w:numId="4" w16cid:durableId="3869677">
    <w:abstractNumId w:val="7"/>
  </w:num>
  <w:num w:numId="5" w16cid:durableId="1890458093">
    <w:abstractNumId w:val="2"/>
  </w:num>
  <w:num w:numId="6" w16cid:durableId="527647428">
    <w:abstractNumId w:val="1"/>
  </w:num>
  <w:num w:numId="7" w16cid:durableId="1682661412">
    <w:abstractNumId w:val="4"/>
  </w:num>
  <w:num w:numId="8" w16cid:durableId="79090082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7AD"/>
    <w:rsid w:val="00030CD1"/>
    <w:rsid w:val="00042C05"/>
    <w:rsid w:val="000628AA"/>
    <w:rsid w:val="00066867"/>
    <w:rsid w:val="00072133"/>
    <w:rsid w:val="00090B21"/>
    <w:rsid w:val="00094FFA"/>
    <w:rsid w:val="000A6AA5"/>
    <w:rsid w:val="000C6FDC"/>
    <w:rsid w:val="00101C1F"/>
    <w:rsid w:val="00104BA7"/>
    <w:rsid w:val="00141DD7"/>
    <w:rsid w:val="00154E86"/>
    <w:rsid w:val="00180B94"/>
    <w:rsid w:val="001A516F"/>
    <w:rsid w:val="001C16BC"/>
    <w:rsid w:val="00202FD7"/>
    <w:rsid w:val="002154C2"/>
    <w:rsid w:val="00257420"/>
    <w:rsid w:val="00273DAE"/>
    <w:rsid w:val="00291C72"/>
    <w:rsid w:val="002C0BA1"/>
    <w:rsid w:val="002C1377"/>
    <w:rsid w:val="002D284F"/>
    <w:rsid w:val="002D3E8E"/>
    <w:rsid w:val="002E642B"/>
    <w:rsid w:val="002F46E0"/>
    <w:rsid w:val="00301FFF"/>
    <w:rsid w:val="003C45B7"/>
    <w:rsid w:val="003C59D2"/>
    <w:rsid w:val="003C673C"/>
    <w:rsid w:val="003E71B5"/>
    <w:rsid w:val="003F6051"/>
    <w:rsid w:val="00454F9C"/>
    <w:rsid w:val="00487C9D"/>
    <w:rsid w:val="004B6C89"/>
    <w:rsid w:val="004C2C11"/>
    <w:rsid w:val="004C4F48"/>
    <w:rsid w:val="004C6CB3"/>
    <w:rsid w:val="004E1465"/>
    <w:rsid w:val="00504DFA"/>
    <w:rsid w:val="00515592"/>
    <w:rsid w:val="00521BEE"/>
    <w:rsid w:val="00546E99"/>
    <w:rsid w:val="00575DC6"/>
    <w:rsid w:val="00580F01"/>
    <w:rsid w:val="00582DF3"/>
    <w:rsid w:val="00592D40"/>
    <w:rsid w:val="005A6F15"/>
    <w:rsid w:val="005B1AE2"/>
    <w:rsid w:val="005C1A20"/>
    <w:rsid w:val="005C3E45"/>
    <w:rsid w:val="005E2C26"/>
    <w:rsid w:val="005F5294"/>
    <w:rsid w:val="006336B9"/>
    <w:rsid w:val="00634C44"/>
    <w:rsid w:val="00635217"/>
    <w:rsid w:val="0068214E"/>
    <w:rsid w:val="006F0F5A"/>
    <w:rsid w:val="006F3EB7"/>
    <w:rsid w:val="0074656B"/>
    <w:rsid w:val="007D384B"/>
    <w:rsid w:val="008040DE"/>
    <w:rsid w:val="0083185E"/>
    <w:rsid w:val="0083360A"/>
    <w:rsid w:val="00843278"/>
    <w:rsid w:val="008445F4"/>
    <w:rsid w:val="0085374F"/>
    <w:rsid w:val="00860F6C"/>
    <w:rsid w:val="008739B6"/>
    <w:rsid w:val="00874FF8"/>
    <w:rsid w:val="008828DC"/>
    <w:rsid w:val="008956E2"/>
    <w:rsid w:val="008C0F8C"/>
    <w:rsid w:val="008C5BD6"/>
    <w:rsid w:val="008D57F6"/>
    <w:rsid w:val="008E5264"/>
    <w:rsid w:val="00912970"/>
    <w:rsid w:val="00922716"/>
    <w:rsid w:val="009322C4"/>
    <w:rsid w:val="009524EB"/>
    <w:rsid w:val="00960C7B"/>
    <w:rsid w:val="00972A88"/>
    <w:rsid w:val="009767C2"/>
    <w:rsid w:val="009A21A4"/>
    <w:rsid w:val="009B4568"/>
    <w:rsid w:val="009F05E3"/>
    <w:rsid w:val="00A53C32"/>
    <w:rsid w:val="00A57BCF"/>
    <w:rsid w:val="00A603E2"/>
    <w:rsid w:val="00A6223F"/>
    <w:rsid w:val="00A717AD"/>
    <w:rsid w:val="00A96061"/>
    <w:rsid w:val="00AA0798"/>
    <w:rsid w:val="00AA3D1E"/>
    <w:rsid w:val="00AB1911"/>
    <w:rsid w:val="00AC2509"/>
    <w:rsid w:val="00B07501"/>
    <w:rsid w:val="00B20466"/>
    <w:rsid w:val="00B2255E"/>
    <w:rsid w:val="00B254FE"/>
    <w:rsid w:val="00B520A6"/>
    <w:rsid w:val="00B5304B"/>
    <w:rsid w:val="00B61AEC"/>
    <w:rsid w:val="00B70A54"/>
    <w:rsid w:val="00BA795A"/>
    <w:rsid w:val="00BB3C20"/>
    <w:rsid w:val="00BE5209"/>
    <w:rsid w:val="00C12B09"/>
    <w:rsid w:val="00C20183"/>
    <w:rsid w:val="00C2268D"/>
    <w:rsid w:val="00C445B4"/>
    <w:rsid w:val="00C74A3F"/>
    <w:rsid w:val="00C84C24"/>
    <w:rsid w:val="00CB5166"/>
    <w:rsid w:val="00CB6C8B"/>
    <w:rsid w:val="00CE1938"/>
    <w:rsid w:val="00D00255"/>
    <w:rsid w:val="00D32A58"/>
    <w:rsid w:val="00D338A7"/>
    <w:rsid w:val="00D5696E"/>
    <w:rsid w:val="00D64B71"/>
    <w:rsid w:val="00D8133D"/>
    <w:rsid w:val="00D87AA4"/>
    <w:rsid w:val="00DE5A1B"/>
    <w:rsid w:val="00DE7E41"/>
    <w:rsid w:val="00DF695B"/>
    <w:rsid w:val="00E070C3"/>
    <w:rsid w:val="00E20AC1"/>
    <w:rsid w:val="00E221F1"/>
    <w:rsid w:val="00E22AA5"/>
    <w:rsid w:val="00E87F13"/>
    <w:rsid w:val="00EB3ACE"/>
    <w:rsid w:val="00EC4963"/>
    <w:rsid w:val="00EC4AEA"/>
    <w:rsid w:val="00EE5709"/>
    <w:rsid w:val="00F1470F"/>
    <w:rsid w:val="00F35ED5"/>
    <w:rsid w:val="00F5278B"/>
    <w:rsid w:val="00F55AEE"/>
    <w:rsid w:val="00F671BE"/>
    <w:rsid w:val="00FB42B6"/>
    <w:rsid w:val="00FC73AF"/>
    <w:rsid w:val="00FC74A0"/>
    <w:rsid w:val="00FF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12EF8"/>
  <w15:chartTrackingRefBased/>
  <w15:docId w15:val="{ED20D269-8A7B-4B8B-A1EC-3008AA7E7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1DD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hlavChar">
    <w:name w:val="Záhlaví Char"/>
    <w:basedOn w:val="Standardnpsmoodstavce"/>
    <w:link w:val="Zhlav"/>
    <w:uiPriority w:val="99"/>
    <w:rsid w:val="00A717AD"/>
  </w:style>
  <w:style w:type="paragraph" w:styleId="Zpat">
    <w:name w:val="footer"/>
    <w:basedOn w:val="Normln"/>
    <w:link w:val="ZpatChar"/>
    <w:uiPriority w:val="99"/>
    <w:unhideWhenUsed/>
    <w:rsid w:val="00A717A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ZpatChar">
    <w:name w:val="Zápatí Char"/>
    <w:basedOn w:val="Standardnpsmoodstavce"/>
    <w:link w:val="Zpat"/>
    <w:uiPriority w:val="99"/>
    <w:rsid w:val="00A717AD"/>
  </w:style>
  <w:style w:type="character" w:styleId="Hypertextovodkaz">
    <w:name w:val="Hyperlink"/>
    <w:basedOn w:val="Standardnpsmoodstavce"/>
    <w:uiPriority w:val="99"/>
    <w:unhideWhenUsed/>
    <w:rsid w:val="00C12B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12B09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84C24"/>
    <w:pPr>
      <w:spacing w:after="0" w:line="240" w:lineRule="auto"/>
    </w:pPr>
  </w:style>
  <w:style w:type="character" w:styleId="Siln">
    <w:name w:val="Strong"/>
    <w:uiPriority w:val="22"/>
    <w:qFormat/>
    <w:rsid w:val="00860F6C"/>
    <w:rPr>
      <w:rFonts w:cs="Times New Roman"/>
      <w:b/>
      <w:bCs/>
    </w:rPr>
  </w:style>
  <w:style w:type="paragraph" w:customStyle="1" w:styleId="indent">
    <w:name w:val="indent"/>
    <w:basedOn w:val="Normln"/>
    <w:rsid w:val="00860F6C"/>
    <w:pPr>
      <w:spacing w:before="48" w:after="48"/>
      <w:ind w:firstLine="480"/>
      <w:jc w:val="both"/>
    </w:pPr>
    <w:rPr>
      <w:lang w:eastAsia="cs-CZ"/>
    </w:rPr>
  </w:style>
  <w:style w:type="paragraph" w:styleId="Zkladntext">
    <w:name w:val="Body Text"/>
    <w:basedOn w:val="Normln"/>
    <w:link w:val="ZkladntextChar"/>
    <w:unhideWhenUsed/>
    <w:rsid w:val="004C2C11"/>
    <w:pPr>
      <w:jc w:val="both"/>
    </w:pPr>
    <w:rPr>
      <w:rFonts w:ascii="Arial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2C11"/>
    <w:rPr>
      <w:rFonts w:ascii="Arial" w:eastAsia="Times New Roman" w:hAnsi="Arial" w:cs="Arial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aliases w:val="Nadpis pro KZ,odrážky,List Paragraph (Czech Tourism),Odstavec_muj,Odstavec cíl se seznamem,Odstavec se seznamem5,Odrážky,Conclusion de partie,_Odstavec se seznamem,Seznam - odrážky,Číslo přílohy"/>
    <w:basedOn w:val="Normln"/>
    <w:uiPriority w:val="34"/>
    <w:qFormat/>
    <w:rsid w:val="00FC73AF"/>
    <w:pPr>
      <w:suppressAutoHyphens/>
      <w:spacing w:after="200" w:line="276" w:lineRule="auto"/>
      <w:ind w:left="720"/>
      <w:contextualSpacing/>
    </w:pPr>
    <w:rPr>
      <w:rFonts w:ascii="Calibri" w:eastAsia="Calibri" w:hAnsi="Calibri"/>
      <w:kern w:val="2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unhideWhenUsed/>
    <w:rsid w:val="00FC73AF"/>
    <w:rPr>
      <w:sz w:val="16"/>
      <w:szCs w:val="16"/>
    </w:rPr>
  </w:style>
  <w:style w:type="paragraph" w:styleId="Bezmezer">
    <w:name w:val="No Spacing"/>
    <w:uiPriority w:val="1"/>
    <w:qFormat/>
    <w:rsid w:val="00FC73AF"/>
    <w:pPr>
      <w:spacing w:after="0" w:line="240" w:lineRule="auto"/>
      <w:jc w:val="center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zikes@kzps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furstova@sovak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FFFFFF"/>
      </a:dk1>
      <a:lt1>
        <a:sysClr val="window" lastClr="20202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080BA5B6F537345B510BA6E33B03E3B0006B4F45D2716C1459D1964E434BA421E" ma:contentTypeVersion="18" ma:contentTypeDescription="Vytvoří nový dokument" ma:contentTypeScope="" ma:versionID="b115531a895a24b42dc9bd36806608c0">
  <xsd:schema xmlns:xsd="http://www.w3.org/2001/XMLSchema" xmlns:xs="http://www.w3.org/2001/XMLSchema" xmlns:p="http://schemas.microsoft.com/office/2006/metadata/properties" xmlns:ns2="6eb1f215-6a82-4f51-a846-5a85a2eef38e" xmlns:ns3="966839c3-b5aa-4aa9-8667-f55983f4c225" targetNamespace="http://schemas.microsoft.com/office/2006/metadata/properties" ma:root="true" ma:fieldsID="9b6b33764924373743353183965f3fa5" ns2:_="" ns3:_="">
    <xsd:import namespace="6eb1f215-6a82-4f51-a846-5a85a2eef38e"/>
    <xsd:import namespace="966839c3-b5aa-4aa9-8667-f55983f4c2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b1f215-6a82-4f51-a846-5a85a2eef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f226013a-5111-42e4-8b1c-dca2288b65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839c3-b5aa-4aa9-8667-f55983f4c225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eb1f215-6a82-4f51-a846-5a85a2eef38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353DC6-182E-4482-866B-4C40056D5D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b1f215-6a82-4f51-a846-5a85a2eef38e"/>
    <ds:schemaRef ds:uri="966839c3-b5aa-4aa9-8667-f55983f4c2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F231-D8AC-498F-82FB-1B0F3FC1D3EF}">
  <ds:schemaRefs>
    <ds:schemaRef ds:uri="http://schemas.microsoft.com/office/2006/metadata/properties"/>
    <ds:schemaRef ds:uri="http://schemas.microsoft.com/office/infopath/2007/PartnerControls"/>
    <ds:schemaRef ds:uri="6eb1f215-6a82-4f51-a846-5a85a2eef38e"/>
  </ds:schemaRefs>
</ds:datastoreItem>
</file>

<file path=customXml/itemProps3.xml><?xml version="1.0" encoding="utf-8"?>
<ds:datastoreItem xmlns:ds="http://schemas.openxmlformats.org/officeDocument/2006/customXml" ds:itemID="{23070C4D-5970-4D99-93DB-3640109BCA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628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Katka Prikrylova - doma</dc:creator>
  <cp:keywords/>
  <dc:description/>
  <cp:lastModifiedBy>Jan Zikeš</cp:lastModifiedBy>
  <cp:revision>2</cp:revision>
  <dcterms:created xsi:type="dcterms:W3CDTF">2024-12-12T10:16:00Z</dcterms:created>
  <dcterms:modified xsi:type="dcterms:W3CDTF">2024-12-12T10:16:00Z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0x0101001080BA5B6F537345B510BA6E33B03E3B0006B4F45D2716C1459D1964E434BA421E</vt:lpwstr>
  </property>
</Properties>
</file>