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15D1" w14:textId="44175EA0" w:rsidR="00EF17C6" w:rsidRPr="00EF17C6" w:rsidRDefault="00EF17C6" w:rsidP="00EF17C6">
      <w:pPr>
        <w:ind w:left="7080"/>
        <w:jc w:val="center"/>
        <w:rPr>
          <w:rFonts w:ascii="Times New Roman" w:hAnsi="Times New Roman" w:cs="Times New Roman"/>
          <w:sz w:val="20"/>
          <w:szCs w:val="20"/>
        </w:rPr>
      </w:pPr>
      <w:r w:rsidRPr="00EF17C6">
        <w:rPr>
          <w:rFonts w:ascii="Times New Roman" w:hAnsi="Times New Roman" w:cs="Times New Roman"/>
          <w:sz w:val="20"/>
          <w:szCs w:val="20"/>
        </w:rPr>
        <w:t>V Praze dne 1</w:t>
      </w:r>
      <w:r w:rsidR="001B051E">
        <w:rPr>
          <w:rFonts w:ascii="Times New Roman" w:hAnsi="Times New Roman" w:cs="Times New Roman"/>
          <w:sz w:val="20"/>
          <w:szCs w:val="20"/>
        </w:rPr>
        <w:t>4</w:t>
      </w:r>
      <w:r w:rsidRPr="00EF17C6">
        <w:rPr>
          <w:rFonts w:ascii="Times New Roman" w:hAnsi="Times New Roman" w:cs="Times New Roman"/>
          <w:sz w:val="20"/>
          <w:szCs w:val="20"/>
        </w:rPr>
        <w:t xml:space="preserve">. </w:t>
      </w:r>
      <w:r w:rsidR="001B051E">
        <w:rPr>
          <w:rFonts w:ascii="Times New Roman" w:hAnsi="Times New Roman" w:cs="Times New Roman"/>
          <w:sz w:val="20"/>
          <w:szCs w:val="20"/>
        </w:rPr>
        <w:t>4</w:t>
      </w:r>
      <w:r w:rsidRPr="00EF17C6">
        <w:rPr>
          <w:rFonts w:ascii="Times New Roman" w:hAnsi="Times New Roman" w:cs="Times New Roman"/>
          <w:sz w:val="20"/>
          <w:szCs w:val="20"/>
        </w:rPr>
        <w:t>. 2025</w:t>
      </w:r>
    </w:p>
    <w:tbl>
      <w:tblPr>
        <w:tblStyle w:val="Mkatabulky"/>
        <w:tblW w:w="9322" w:type="dxa"/>
        <w:tblLook w:val="04A0" w:firstRow="1" w:lastRow="0" w:firstColumn="1" w:lastColumn="0" w:noHBand="0" w:noVBand="1"/>
      </w:tblPr>
      <w:tblGrid>
        <w:gridCol w:w="2093"/>
        <w:gridCol w:w="7229"/>
      </w:tblGrid>
      <w:tr w:rsidR="00EF17C6" w:rsidRPr="00EF17C6" w14:paraId="6DE8F60A" w14:textId="77777777" w:rsidTr="009A3970">
        <w:tc>
          <w:tcPr>
            <w:tcW w:w="2093" w:type="dxa"/>
            <w:vAlign w:val="center"/>
          </w:tcPr>
          <w:p w14:paraId="2A63B26B" w14:textId="77777777" w:rsidR="00EF17C6" w:rsidRPr="00EF17C6" w:rsidRDefault="00EF17C6" w:rsidP="00EF17C6">
            <w:pPr>
              <w:spacing w:after="200" w:line="360" w:lineRule="auto"/>
              <w:jc w:val="both"/>
              <w:rPr>
                <w:rFonts w:ascii="Times New Roman" w:hAnsi="Times New Roman"/>
                <w:b/>
                <w:sz w:val="24"/>
                <w:szCs w:val="24"/>
              </w:rPr>
            </w:pPr>
            <w:r w:rsidRPr="00EF17C6">
              <w:rPr>
                <w:rFonts w:ascii="Times New Roman" w:hAnsi="Times New Roman"/>
                <w:b/>
                <w:sz w:val="24"/>
                <w:szCs w:val="24"/>
              </w:rPr>
              <w:t>Název materiálu:</w:t>
            </w:r>
          </w:p>
        </w:tc>
        <w:tc>
          <w:tcPr>
            <w:tcW w:w="7229" w:type="dxa"/>
          </w:tcPr>
          <w:p w14:paraId="4DC08631" w14:textId="2D4F6766" w:rsidR="00EF17C6" w:rsidRPr="00EF17C6" w:rsidRDefault="00862B95" w:rsidP="00EF17C6">
            <w:pPr>
              <w:spacing w:after="200" w:line="360" w:lineRule="auto"/>
              <w:jc w:val="both"/>
              <w:rPr>
                <w:rFonts w:ascii="Times New Roman" w:hAnsi="Times New Roman"/>
                <w:b/>
                <w:bCs/>
                <w:sz w:val="24"/>
                <w:szCs w:val="24"/>
              </w:rPr>
            </w:pPr>
            <w:r w:rsidRPr="00862B95">
              <w:rPr>
                <w:rFonts w:ascii="Times New Roman" w:hAnsi="Times New Roman"/>
                <w:b/>
                <w:bCs/>
                <w:sz w:val="24"/>
                <w:szCs w:val="24"/>
              </w:rPr>
              <w:t>Návrh vyhlášky, kterou se vyhláška č. 16/2016 Sb., o podmínkách připojení k elektrizační soustavě, ve znění pozdějších předpisů</w:t>
            </w:r>
          </w:p>
        </w:tc>
      </w:tr>
      <w:tr w:rsidR="00EF17C6" w:rsidRPr="00EF17C6" w14:paraId="48C2464D" w14:textId="77777777" w:rsidTr="009A3970">
        <w:tc>
          <w:tcPr>
            <w:tcW w:w="2093" w:type="dxa"/>
            <w:vAlign w:val="center"/>
          </w:tcPr>
          <w:p w14:paraId="1D33E196" w14:textId="1172A4F0" w:rsidR="00EF17C6" w:rsidRPr="00EF17C6" w:rsidRDefault="00EF17C6" w:rsidP="00EF17C6">
            <w:pPr>
              <w:spacing w:after="200" w:line="360" w:lineRule="auto"/>
              <w:jc w:val="both"/>
              <w:rPr>
                <w:rFonts w:ascii="Times New Roman" w:hAnsi="Times New Roman"/>
                <w:b/>
                <w:sz w:val="24"/>
                <w:szCs w:val="24"/>
              </w:rPr>
            </w:pPr>
            <w:proofErr w:type="spellStart"/>
            <w:r w:rsidRPr="00EF17C6">
              <w:rPr>
                <w:rFonts w:ascii="Times New Roman" w:hAnsi="Times New Roman"/>
                <w:b/>
                <w:sz w:val="24"/>
                <w:szCs w:val="24"/>
              </w:rPr>
              <w:t>Připom</w:t>
            </w:r>
            <w:proofErr w:type="spellEnd"/>
            <w:r w:rsidR="00FE53A7">
              <w:rPr>
                <w:rFonts w:ascii="Times New Roman" w:hAnsi="Times New Roman"/>
                <w:b/>
                <w:sz w:val="24"/>
                <w:szCs w:val="24"/>
              </w:rPr>
              <w:t xml:space="preserve">. </w:t>
            </w:r>
            <w:r w:rsidRPr="00EF17C6">
              <w:rPr>
                <w:rFonts w:ascii="Times New Roman" w:hAnsi="Times New Roman"/>
                <w:b/>
                <w:sz w:val="24"/>
                <w:szCs w:val="24"/>
              </w:rPr>
              <w:t>místo:</w:t>
            </w:r>
          </w:p>
        </w:tc>
        <w:tc>
          <w:tcPr>
            <w:tcW w:w="7229" w:type="dxa"/>
          </w:tcPr>
          <w:p w14:paraId="6A61E605" w14:textId="0129A7F4" w:rsidR="00EF17C6" w:rsidRPr="00EF17C6" w:rsidRDefault="00EF17C6" w:rsidP="00EF17C6">
            <w:pPr>
              <w:spacing w:after="200" w:line="360" w:lineRule="auto"/>
              <w:jc w:val="both"/>
              <w:rPr>
                <w:rFonts w:ascii="Times New Roman" w:hAnsi="Times New Roman"/>
                <w:b/>
                <w:sz w:val="24"/>
                <w:szCs w:val="24"/>
              </w:rPr>
            </w:pPr>
            <w:r>
              <w:rPr>
                <w:rFonts w:ascii="Times New Roman" w:hAnsi="Times New Roman"/>
                <w:b/>
                <w:sz w:val="24"/>
                <w:szCs w:val="24"/>
              </w:rPr>
              <w:t>Zaměstnavatelský svaz důlního a naftového průmyslu (ZSDNP)</w:t>
            </w:r>
          </w:p>
        </w:tc>
      </w:tr>
      <w:tr w:rsidR="00EF17C6" w:rsidRPr="00EF17C6" w14:paraId="455764D0" w14:textId="77777777" w:rsidTr="009A3970">
        <w:tc>
          <w:tcPr>
            <w:tcW w:w="2093" w:type="dxa"/>
            <w:vAlign w:val="center"/>
          </w:tcPr>
          <w:p w14:paraId="600FD4CF" w14:textId="77777777" w:rsidR="00EF17C6" w:rsidRPr="00EF17C6" w:rsidRDefault="00EF17C6" w:rsidP="00EF17C6">
            <w:pPr>
              <w:spacing w:after="200" w:line="360" w:lineRule="auto"/>
              <w:jc w:val="both"/>
              <w:rPr>
                <w:rFonts w:ascii="Times New Roman" w:hAnsi="Times New Roman"/>
                <w:b/>
                <w:sz w:val="24"/>
                <w:szCs w:val="24"/>
              </w:rPr>
            </w:pPr>
            <w:r w:rsidRPr="00EF17C6">
              <w:rPr>
                <w:rFonts w:ascii="Times New Roman" w:hAnsi="Times New Roman"/>
                <w:b/>
                <w:sz w:val="24"/>
                <w:szCs w:val="24"/>
              </w:rPr>
              <w:t>Telefon:</w:t>
            </w:r>
            <w:r w:rsidRPr="00EF17C6">
              <w:rPr>
                <w:rFonts w:ascii="Times New Roman" w:hAnsi="Times New Roman"/>
                <w:b/>
                <w:sz w:val="24"/>
                <w:szCs w:val="24"/>
              </w:rPr>
              <w:tab/>
            </w:r>
          </w:p>
        </w:tc>
        <w:tc>
          <w:tcPr>
            <w:tcW w:w="7229" w:type="dxa"/>
          </w:tcPr>
          <w:p w14:paraId="5A63E50F" w14:textId="495AFE43" w:rsidR="00EF17C6" w:rsidRPr="00EF17C6" w:rsidRDefault="009D4D4B" w:rsidP="00EF17C6">
            <w:pPr>
              <w:spacing w:after="200" w:line="360" w:lineRule="auto"/>
              <w:jc w:val="both"/>
              <w:rPr>
                <w:rFonts w:ascii="Times New Roman" w:hAnsi="Times New Roman"/>
                <w:b/>
                <w:sz w:val="24"/>
                <w:szCs w:val="24"/>
              </w:rPr>
            </w:pPr>
            <w:r>
              <w:rPr>
                <w:rFonts w:ascii="Times New Roman" w:hAnsi="Times New Roman"/>
                <w:b/>
                <w:sz w:val="24"/>
                <w:szCs w:val="24"/>
              </w:rPr>
              <w:t>727 956</w:t>
            </w:r>
            <w:r w:rsidR="00D205DA">
              <w:rPr>
                <w:rFonts w:ascii="Times New Roman" w:hAnsi="Times New Roman"/>
                <w:b/>
                <w:sz w:val="24"/>
                <w:szCs w:val="24"/>
              </w:rPr>
              <w:t xml:space="preserve"> 059, </w:t>
            </w:r>
            <w:r w:rsidR="00EF17C6" w:rsidRPr="00EF17C6">
              <w:rPr>
                <w:rFonts w:ascii="Times New Roman" w:hAnsi="Times New Roman"/>
                <w:b/>
                <w:sz w:val="24"/>
                <w:szCs w:val="24"/>
              </w:rPr>
              <w:t>+420 </w:t>
            </w:r>
            <w:r w:rsidR="00FE53A7">
              <w:rPr>
                <w:rFonts w:ascii="Times New Roman" w:hAnsi="Times New Roman"/>
                <w:b/>
                <w:sz w:val="24"/>
                <w:szCs w:val="24"/>
              </w:rPr>
              <w:t>724</w:t>
            </w:r>
            <w:r w:rsidR="00EF17C6" w:rsidRPr="00EF17C6">
              <w:rPr>
                <w:rFonts w:ascii="Times New Roman" w:hAnsi="Times New Roman"/>
                <w:b/>
                <w:sz w:val="24"/>
                <w:szCs w:val="24"/>
              </w:rPr>
              <w:t> </w:t>
            </w:r>
            <w:r w:rsidR="00FE53A7">
              <w:rPr>
                <w:rFonts w:ascii="Times New Roman" w:hAnsi="Times New Roman"/>
                <w:b/>
                <w:sz w:val="24"/>
                <w:szCs w:val="24"/>
              </w:rPr>
              <w:t>117</w:t>
            </w:r>
            <w:r w:rsidR="00EF17C6" w:rsidRPr="00EF17C6">
              <w:rPr>
                <w:rFonts w:ascii="Times New Roman" w:hAnsi="Times New Roman"/>
                <w:b/>
                <w:sz w:val="24"/>
                <w:szCs w:val="24"/>
              </w:rPr>
              <w:t> </w:t>
            </w:r>
            <w:r w:rsidR="00FE53A7">
              <w:rPr>
                <w:rFonts w:ascii="Times New Roman" w:hAnsi="Times New Roman"/>
                <w:b/>
                <w:sz w:val="24"/>
                <w:szCs w:val="24"/>
              </w:rPr>
              <w:t>648</w:t>
            </w:r>
          </w:p>
        </w:tc>
      </w:tr>
      <w:tr w:rsidR="00EF17C6" w:rsidRPr="00EF17C6" w14:paraId="257066D4" w14:textId="77777777" w:rsidTr="009A3970">
        <w:tc>
          <w:tcPr>
            <w:tcW w:w="2093" w:type="dxa"/>
            <w:vAlign w:val="center"/>
          </w:tcPr>
          <w:p w14:paraId="44C35CC6" w14:textId="77777777" w:rsidR="00EF17C6" w:rsidRPr="00EF17C6" w:rsidRDefault="00EF17C6" w:rsidP="00EF17C6">
            <w:pPr>
              <w:spacing w:after="200" w:line="360" w:lineRule="auto"/>
              <w:jc w:val="both"/>
              <w:rPr>
                <w:rFonts w:ascii="Times New Roman" w:hAnsi="Times New Roman"/>
                <w:b/>
                <w:sz w:val="24"/>
                <w:szCs w:val="24"/>
              </w:rPr>
            </w:pPr>
            <w:r w:rsidRPr="00EF17C6">
              <w:rPr>
                <w:rFonts w:ascii="Times New Roman" w:hAnsi="Times New Roman"/>
                <w:b/>
                <w:sz w:val="24"/>
                <w:szCs w:val="24"/>
              </w:rPr>
              <w:t>e-mail:</w:t>
            </w:r>
          </w:p>
        </w:tc>
        <w:tc>
          <w:tcPr>
            <w:tcW w:w="7229" w:type="dxa"/>
          </w:tcPr>
          <w:p w14:paraId="15CAF046" w14:textId="13B81F8C" w:rsidR="00EF17C6" w:rsidRPr="00EF17C6" w:rsidRDefault="00D205DA" w:rsidP="00EF17C6">
            <w:pPr>
              <w:spacing w:after="200" w:line="360" w:lineRule="auto"/>
              <w:jc w:val="both"/>
              <w:rPr>
                <w:rFonts w:ascii="Times New Roman" w:hAnsi="Times New Roman"/>
                <w:sz w:val="24"/>
                <w:szCs w:val="24"/>
              </w:rPr>
            </w:pPr>
            <w:hyperlink r:id="rId7" w:history="1">
              <w:r w:rsidRPr="003351FC">
                <w:rPr>
                  <w:rStyle w:val="Hypertextovodkaz"/>
                </w:rPr>
                <w:t>Jakub.machytka@uzs.cz</w:t>
              </w:r>
            </w:hyperlink>
            <w:r>
              <w:t xml:space="preserve">, </w:t>
            </w:r>
            <w:hyperlink r:id="rId8" w:history="1">
              <w:r w:rsidR="00FF79A4" w:rsidRPr="003351FC">
                <w:rPr>
                  <w:rStyle w:val="Hypertextovodkaz"/>
                </w:rPr>
                <w:t>haas@zscr.cz</w:t>
              </w:r>
            </w:hyperlink>
            <w:r w:rsidR="00FF79A4">
              <w:t xml:space="preserve">, </w:t>
            </w:r>
            <w:hyperlink r:id="rId9" w:history="1">
              <w:r w:rsidRPr="003351FC">
                <w:rPr>
                  <w:rStyle w:val="Hypertextovodkaz"/>
                  <w:rFonts w:ascii="Calibri" w:hAnsi="Calibri"/>
                </w:rPr>
                <w:t>sochor</w:t>
              </w:r>
              <w:r w:rsidRPr="003351FC">
                <w:rPr>
                  <w:rStyle w:val="Hypertextovodkaz"/>
                  <w:rFonts w:ascii="Times New Roman" w:hAnsi="Times New Roman"/>
                  <w:sz w:val="24"/>
                  <w:szCs w:val="24"/>
                </w:rPr>
                <w:t>@zsdnp.cz</w:t>
              </w:r>
            </w:hyperlink>
            <w:r w:rsidR="00EF17C6" w:rsidRPr="00EF17C6">
              <w:rPr>
                <w:rFonts w:ascii="Times New Roman" w:hAnsi="Times New Roman"/>
                <w:sz w:val="24"/>
                <w:szCs w:val="24"/>
              </w:rPr>
              <w:t xml:space="preserve"> , </w:t>
            </w:r>
            <w:hyperlink r:id="rId10" w:history="1">
              <w:r w:rsidR="00EF17C6" w:rsidRPr="00617B61">
                <w:rPr>
                  <w:rStyle w:val="Hypertextovodkaz"/>
                  <w:rFonts w:ascii="Calibri" w:hAnsi="Calibri"/>
                </w:rPr>
                <w:t>danielova</w:t>
              </w:r>
              <w:r w:rsidR="00EF17C6" w:rsidRPr="00EF17C6">
                <w:rPr>
                  <w:rStyle w:val="Hypertextovodkaz"/>
                  <w:rFonts w:ascii="Times New Roman" w:hAnsi="Times New Roman"/>
                  <w:sz w:val="24"/>
                  <w:szCs w:val="24"/>
                </w:rPr>
                <w:t>@</w:t>
              </w:r>
              <w:r w:rsidR="00EF17C6" w:rsidRPr="00617B61">
                <w:rPr>
                  <w:rStyle w:val="Hypertextovodkaz"/>
                  <w:rFonts w:ascii="Times New Roman" w:hAnsi="Times New Roman"/>
                  <w:sz w:val="24"/>
                  <w:szCs w:val="24"/>
                </w:rPr>
                <w:t>zsdnp</w:t>
              </w:r>
              <w:r w:rsidR="00EF17C6" w:rsidRPr="00EF17C6">
                <w:rPr>
                  <w:rStyle w:val="Hypertextovodkaz"/>
                  <w:rFonts w:ascii="Times New Roman" w:hAnsi="Times New Roman"/>
                  <w:sz w:val="24"/>
                  <w:szCs w:val="24"/>
                </w:rPr>
                <w:t>.cz</w:t>
              </w:r>
            </w:hyperlink>
          </w:p>
        </w:tc>
      </w:tr>
      <w:tr w:rsidR="00EF17C6" w:rsidRPr="00EF17C6" w14:paraId="20D92027" w14:textId="77777777" w:rsidTr="009A3970">
        <w:tc>
          <w:tcPr>
            <w:tcW w:w="2093" w:type="dxa"/>
            <w:vAlign w:val="center"/>
          </w:tcPr>
          <w:p w14:paraId="64258BBC" w14:textId="77777777" w:rsidR="00EF17C6" w:rsidRPr="00EF17C6" w:rsidRDefault="00EF17C6" w:rsidP="00EF17C6">
            <w:pPr>
              <w:spacing w:after="200" w:line="360" w:lineRule="auto"/>
              <w:jc w:val="both"/>
              <w:rPr>
                <w:rFonts w:ascii="Times New Roman" w:hAnsi="Times New Roman"/>
                <w:b/>
                <w:sz w:val="24"/>
                <w:szCs w:val="24"/>
              </w:rPr>
            </w:pPr>
            <w:r w:rsidRPr="00EF17C6">
              <w:rPr>
                <w:rFonts w:ascii="Times New Roman" w:hAnsi="Times New Roman"/>
                <w:b/>
                <w:sz w:val="24"/>
                <w:szCs w:val="24"/>
              </w:rPr>
              <w:t>Kontaktní osoba:</w:t>
            </w:r>
          </w:p>
        </w:tc>
        <w:tc>
          <w:tcPr>
            <w:tcW w:w="7229" w:type="dxa"/>
          </w:tcPr>
          <w:p w14:paraId="0F6E9865" w14:textId="1A903EBB" w:rsidR="00EF17C6" w:rsidRPr="00EF17C6" w:rsidRDefault="00FF79A4" w:rsidP="00EF17C6">
            <w:pPr>
              <w:spacing w:after="200" w:line="360" w:lineRule="auto"/>
              <w:jc w:val="both"/>
              <w:rPr>
                <w:rFonts w:ascii="Times New Roman" w:hAnsi="Times New Roman"/>
                <w:b/>
                <w:bCs/>
                <w:sz w:val="24"/>
                <w:szCs w:val="24"/>
              </w:rPr>
            </w:pPr>
            <w:r>
              <w:rPr>
                <w:rFonts w:ascii="Times New Roman" w:hAnsi="Times New Roman"/>
                <w:b/>
                <w:bCs/>
                <w:sz w:val="24"/>
                <w:szCs w:val="24"/>
              </w:rPr>
              <w:t>Mgr. Jakub Machy</w:t>
            </w:r>
            <w:r w:rsidR="001B051E">
              <w:rPr>
                <w:rFonts w:ascii="Times New Roman" w:hAnsi="Times New Roman"/>
                <w:b/>
                <w:bCs/>
                <w:sz w:val="24"/>
                <w:szCs w:val="24"/>
              </w:rPr>
              <w:t xml:space="preserve">tka, Mgr Petr Haas, </w:t>
            </w:r>
            <w:r w:rsidR="00EF17C6">
              <w:rPr>
                <w:rFonts w:ascii="Times New Roman" w:hAnsi="Times New Roman"/>
                <w:b/>
                <w:bCs/>
                <w:sz w:val="24"/>
                <w:szCs w:val="24"/>
              </w:rPr>
              <w:t>Ing. Zbyšek Sochor, Ph.D.</w:t>
            </w:r>
          </w:p>
        </w:tc>
      </w:tr>
    </w:tbl>
    <w:p w14:paraId="201F15F0" w14:textId="77777777" w:rsidR="00B930E4" w:rsidRPr="001964BE" w:rsidRDefault="00B930E4" w:rsidP="00B930E4">
      <w:pPr>
        <w:jc w:val="both"/>
        <w:rPr>
          <w:rFonts w:cstheme="minorHAnsi"/>
          <w:b/>
          <w:bCs/>
          <w:u w:val="single"/>
        </w:rPr>
      </w:pPr>
    </w:p>
    <w:p w14:paraId="0BADA249" w14:textId="77777777" w:rsidR="00B930E4" w:rsidRPr="00FE53A7" w:rsidRDefault="00B930E4" w:rsidP="00FE53A7">
      <w:pPr>
        <w:spacing w:after="0"/>
        <w:jc w:val="both"/>
        <w:rPr>
          <w:rFonts w:ascii="Times New Roman" w:hAnsi="Times New Roman" w:cs="Times New Roman"/>
          <w:b/>
          <w:bCs/>
          <w:sz w:val="24"/>
          <w:szCs w:val="24"/>
          <w:u w:val="single"/>
        </w:rPr>
      </w:pPr>
    </w:p>
    <w:p w14:paraId="0D3822A3" w14:textId="77777777" w:rsidR="0035174A" w:rsidRPr="0035174A" w:rsidRDefault="0035174A" w:rsidP="0035174A">
      <w:pPr>
        <w:spacing w:after="120" w:line="276" w:lineRule="auto"/>
        <w:rPr>
          <w:rFonts w:ascii="Calibri" w:eastAsia="Calibri" w:hAnsi="Calibri" w:cs="Calibri"/>
          <w:b/>
          <w:u w:val="single"/>
        </w:rPr>
      </w:pPr>
      <w:r w:rsidRPr="0035174A">
        <w:rPr>
          <w:rFonts w:ascii="Calibri" w:eastAsia="Calibri" w:hAnsi="Calibri" w:cs="Calibri"/>
          <w:b/>
          <w:u w:val="single"/>
        </w:rPr>
        <w:t>Obecné připomínky</w:t>
      </w:r>
    </w:p>
    <w:p w14:paraId="3D958242" w14:textId="77777777" w:rsidR="0035174A" w:rsidRPr="0035174A" w:rsidRDefault="0035174A" w:rsidP="005C3005">
      <w:pPr>
        <w:numPr>
          <w:ilvl w:val="0"/>
          <w:numId w:val="10"/>
        </w:numPr>
        <w:spacing w:after="0" w:line="276" w:lineRule="auto"/>
        <w:contextualSpacing/>
        <w:jc w:val="both"/>
        <w:rPr>
          <w:rFonts w:ascii="Aptos" w:eastAsia="Aptos" w:hAnsi="Aptos" w:cs="Times New Roman"/>
          <w:b/>
          <w:bCs/>
          <w:kern w:val="2"/>
          <w14:ligatures w14:val="standardContextual"/>
        </w:rPr>
      </w:pPr>
      <w:r w:rsidRPr="0035174A">
        <w:rPr>
          <w:rFonts w:ascii="Aptos" w:eastAsia="Aptos" w:hAnsi="Aptos" w:cs="Times New Roman"/>
          <w:b/>
          <w:bCs/>
          <w:kern w:val="2"/>
          <w14:ligatures w14:val="standardContextual"/>
        </w:rPr>
        <w:t xml:space="preserve">Materiál neřeší systematicky problémy v oblasti rezervací výkonů / příkonů nových OZE </w:t>
      </w:r>
    </w:p>
    <w:p w14:paraId="2BB2FCEA" w14:textId="77777777" w:rsidR="0035174A" w:rsidRPr="0035174A" w:rsidRDefault="0035174A" w:rsidP="0035174A">
      <w:pPr>
        <w:spacing w:after="0" w:line="276" w:lineRule="auto"/>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Dokument podle nás nedostatečně reaguje na skutečnou situaci na trhu, především v oblasti připojování nových OZE. Ty způsobují potíže nejen pro PDS, ale i pro samotný sektor OZE a je v zájmu všech je tyto problémy efektivně řešit.</w:t>
      </w:r>
    </w:p>
    <w:p w14:paraId="0C9D55CF" w14:textId="77777777" w:rsidR="0035174A" w:rsidRPr="0035174A" w:rsidRDefault="0035174A" w:rsidP="0035174A">
      <w:pPr>
        <w:spacing w:after="0" w:line="276" w:lineRule="auto"/>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Důvody pro drtivou většinu rezervovaných výkonů např. u solárních elektráren však nejsou, jak se často uvádí, spekulace, ale skutečnost, že investoři narážejí při developmentu projektů v Česku na obrovský počet překážek v povolovacích procesech a dalších oblastech, které nemohou ovlivnit. Zároveň jsou ale (např. kvůli nastavení dotačních programů či nedostatečným informacím o stávajících ale hlavně budoucích volných kapacitách DS) nuceni zajistit výkon pro každý projekt, u kterého zvažují investice.</w:t>
      </w:r>
    </w:p>
    <w:p w14:paraId="0AF18D8A" w14:textId="77777777" w:rsidR="0035174A" w:rsidRPr="0035174A" w:rsidRDefault="0035174A" w:rsidP="0035174A">
      <w:pPr>
        <w:spacing w:after="0" w:line="276" w:lineRule="auto"/>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V ideálním případě by rezervace kapacity měl být jedním z posledních bodů v procesu developmentu např. velké solární elektrárny. V realitě to ale není možné, protože proces developmentu je v Česku dnes zhruba následující:</w:t>
      </w:r>
    </w:p>
    <w:p w14:paraId="6FCFA878" w14:textId="77777777" w:rsidR="0035174A" w:rsidRPr="0035174A" w:rsidRDefault="0035174A" w:rsidP="0035174A">
      <w:pPr>
        <w:numPr>
          <w:ilvl w:val="0"/>
          <w:numId w:val="9"/>
        </w:numPr>
        <w:spacing w:after="200" w:line="276" w:lineRule="auto"/>
        <w:ind w:left="284"/>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Zájemce o výstavbu FVE vytipuje vhodný pozemek a začne např. s oslovením obce, od které zjistí některé informace</w:t>
      </w:r>
    </w:p>
    <w:p w14:paraId="0C7EEC6C" w14:textId="77777777" w:rsidR="0035174A" w:rsidRPr="0035174A" w:rsidRDefault="0035174A" w:rsidP="0035174A">
      <w:pPr>
        <w:numPr>
          <w:ilvl w:val="0"/>
          <w:numId w:val="9"/>
        </w:numPr>
        <w:spacing w:after="200" w:line="276" w:lineRule="auto"/>
        <w:ind w:left="284"/>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Poté chce žádat o dotace z Modernizačního fondu, aby získal jistotu, že projekt bude ekonomicky životaschopný a aby mohl oslovit investory či banky ohledně předběžných informací o financování. Ti ale chtějí mít informace o pravděpodobnosti, že projekt získá dotaci, než do něj vloží prostředky. V tomto okamžiku je investor nucen požádat o SOP i když neví, zda v průběhu developmentu bude narážet na neřešitelné překážky ani jak dlouho bude proces trvat.</w:t>
      </w:r>
    </w:p>
    <w:p w14:paraId="7C40A334" w14:textId="77777777" w:rsidR="0035174A" w:rsidRPr="0035174A" w:rsidRDefault="0035174A" w:rsidP="0035174A">
      <w:pPr>
        <w:numPr>
          <w:ilvl w:val="0"/>
          <w:numId w:val="9"/>
        </w:numPr>
        <w:spacing w:after="200" w:line="276" w:lineRule="auto"/>
        <w:ind w:left="284"/>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 xml:space="preserve">Nemá přitom možnost zjistit u PDS, zda v dané lokalitě bude např. volná kapacity v horizontu 3-5 let. </w:t>
      </w:r>
    </w:p>
    <w:p w14:paraId="56C1F607" w14:textId="77777777" w:rsidR="0035174A" w:rsidRPr="0035174A" w:rsidRDefault="0035174A" w:rsidP="0035174A">
      <w:pPr>
        <w:numPr>
          <w:ilvl w:val="0"/>
          <w:numId w:val="9"/>
        </w:numPr>
        <w:spacing w:after="200" w:line="276" w:lineRule="auto"/>
        <w:ind w:left="284"/>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Zájemce kromě toho může narazit v rámci developmentu na skoro neomezený počet problémů, které nemůže ovlivnit, například:</w:t>
      </w:r>
    </w:p>
    <w:p w14:paraId="6A08595C" w14:textId="77777777" w:rsidR="0035174A" w:rsidRPr="0035174A" w:rsidRDefault="0035174A" w:rsidP="0035174A">
      <w:pPr>
        <w:numPr>
          <w:ilvl w:val="1"/>
          <w:numId w:val="9"/>
        </w:numPr>
        <w:spacing w:after="200" w:line="276" w:lineRule="auto"/>
        <w:ind w:left="851"/>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lastRenderedPageBreak/>
        <w:t xml:space="preserve">Obec během developmentu (tedy poté, co byla podepsána SOP) zahájí změnu územního plánu, kterým chce plošně zakázat výstavbu FVE.  </w:t>
      </w:r>
    </w:p>
    <w:p w14:paraId="5D591110" w14:textId="77777777" w:rsidR="0035174A" w:rsidRPr="0035174A" w:rsidRDefault="0035174A" w:rsidP="0035174A">
      <w:pPr>
        <w:numPr>
          <w:ilvl w:val="1"/>
          <w:numId w:val="9"/>
        </w:numPr>
        <w:spacing w:after="200" w:line="276" w:lineRule="auto"/>
        <w:ind w:left="851"/>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V rámci povolování kabelové trasy narazí na odpor majitelů pozemků, anebo se protáhne vyjednávání</w:t>
      </w:r>
    </w:p>
    <w:p w14:paraId="3CF06935" w14:textId="77777777" w:rsidR="0035174A" w:rsidRPr="0035174A" w:rsidRDefault="0035174A" w:rsidP="0035174A">
      <w:pPr>
        <w:numPr>
          <w:ilvl w:val="1"/>
          <w:numId w:val="9"/>
        </w:numPr>
        <w:spacing w:after="200" w:line="276" w:lineRule="auto"/>
        <w:ind w:left="851"/>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Narazí na nepřátelské úředníky na stavebním úřadu či jinde, které development prodlouží o měsíce či roky</w:t>
      </w:r>
    </w:p>
    <w:p w14:paraId="6E00DA49" w14:textId="77777777" w:rsidR="0035174A" w:rsidRPr="0035174A" w:rsidRDefault="0035174A" w:rsidP="0035174A">
      <w:pPr>
        <w:spacing w:after="0" w:line="276" w:lineRule="auto"/>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 xml:space="preserve">V těchto případech není „blokace“ kapacit vinou investora, ale státu, který není schopný efektivně odstraňovat bariéry, zamezovat systematickému vydírání investorů ze strany majitelů pozemků či obcím. </w:t>
      </w:r>
    </w:p>
    <w:p w14:paraId="31C32007" w14:textId="77777777" w:rsidR="0035174A" w:rsidRPr="0035174A" w:rsidRDefault="0035174A" w:rsidP="0035174A">
      <w:pPr>
        <w:spacing w:after="0" w:line="276" w:lineRule="auto"/>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Skutečně efektivní cesta pro uvolnění blokovaných kapacit je:</w:t>
      </w:r>
    </w:p>
    <w:p w14:paraId="25B0699D" w14:textId="77777777" w:rsidR="0035174A" w:rsidRPr="0035174A" w:rsidRDefault="0035174A" w:rsidP="0035174A">
      <w:pPr>
        <w:numPr>
          <w:ilvl w:val="0"/>
          <w:numId w:val="9"/>
        </w:numPr>
        <w:spacing w:after="200" w:line="276" w:lineRule="auto"/>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Zrušit podmínku, že již při žádosti o dotace musí být doložena zajištěná kapacita</w:t>
      </w:r>
    </w:p>
    <w:p w14:paraId="7BD060EE" w14:textId="77777777" w:rsidR="0035174A" w:rsidRPr="0035174A" w:rsidRDefault="0035174A" w:rsidP="0035174A">
      <w:pPr>
        <w:numPr>
          <w:ilvl w:val="0"/>
          <w:numId w:val="9"/>
        </w:numPr>
        <w:spacing w:after="200" w:line="276" w:lineRule="auto"/>
        <w:contextualSpacing/>
        <w:jc w:val="both"/>
        <w:rPr>
          <w:rFonts w:ascii="Aptos" w:eastAsia="Times New Roman" w:hAnsi="Aptos" w:cs="Calibri"/>
          <w:shd w:val="clear" w:color="auto" w:fill="FFFFFF"/>
          <w:lang w:eastAsia="en-GB"/>
        </w:rPr>
      </w:pPr>
      <w:r w:rsidRPr="0035174A">
        <w:rPr>
          <w:rFonts w:ascii="Aptos" w:eastAsia="Times New Roman" w:hAnsi="Aptos" w:cs="Calibri"/>
          <w:shd w:val="clear" w:color="auto" w:fill="FFFFFF"/>
          <w:lang w:eastAsia="en-GB"/>
        </w:rPr>
        <w:t>Odstranit bariéry v povolovacích procesech</w:t>
      </w:r>
    </w:p>
    <w:p w14:paraId="042393CF" w14:textId="77777777" w:rsidR="0035174A" w:rsidRPr="0035174A" w:rsidRDefault="0035174A" w:rsidP="0035174A">
      <w:pPr>
        <w:pBdr>
          <w:bottom w:val="single" w:sz="4" w:space="1" w:color="auto"/>
        </w:pBdr>
        <w:spacing w:after="120" w:line="276" w:lineRule="auto"/>
        <w:ind w:left="12" w:firstLine="708"/>
        <w:jc w:val="right"/>
        <w:rPr>
          <w:rFonts w:ascii="Calibri" w:eastAsia="Calibri" w:hAnsi="Calibri" w:cs="Calibri"/>
        </w:rPr>
      </w:pPr>
      <w:r w:rsidRPr="0035174A">
        <w:rPr>
          <w:rFonts w:ascii="Calibri" w:eastAsia="Calibri" w:hAnsi="Calibri" w:cs="Calibri"/>
        </w:rPr>
        <w:t>tato připomínka je zásadní</w:t>
      </w:r>
    </w:p>
    <w:p w14:paraId="63EA1DBA" w14:textId="77777777" w:rsidR="0035174A" w:rsidRPr="0035174A" w:rsidRDefault="0035174A" w:rsidP="0035174A">
      <w:pPr>
        <w:spacing w:after="0" w:line="276" w:lineRule="auto"/>
        <w:jc w:val="both"/>
        <w:rPr>
          <w:rFonts w:ascii="Calibri" w:eastAsia="Cambria" w:hAnsi="Calibri" w:cs="Calibri"/>
          <w:color w:val="404040"/>
          <w:lang w:eastAsia="cs-CZ"/>
        </w:rPr>
      </w:pPr>
    </w:p>
    <w:p w14:paraId="278344E2" w14:textId="77777777" w:rsidR="0035174A" w:rsidRPr="0035174A" w:rsidRDefault="0035174A" w:rsidP="0035174A">
      <w:pPr>
        <w:spacing w:after="120" w:line="276" w:lineRule="auto"/>
        <w:rPr>
          <w:rFonts w:ascii="Calibri" w:eastAsia="Calibri" w:hAnsi="Calibri" w:cs="Calibri"/>
          <w:b/>
          <w:u w:val="single"/>
        </w:rPr>
      </w:pPr>
      <w:r w:rsidRPr="0035174A">
        <w:rPr>
          <w:rFonts w:ascii="Calibri" w:eastAsia="Calibri" w:hAnsi="Calibri" w:cs="Calibri"/>
          <w:b/>
          <w:u w:val="single"/>
        </w:rPr>
        <w:t>Konkrétní připomínky</w:t>
      </w:r>
    </w:p>
    <w:p w14:paraId="71F6638C" w14:textId="77777777" w:rsidR="0035174A" w:rsidRPr="0035174A" w:rsidRDefault="0035174A" w:rsidP="00DC2A97">
      <w:pPr>
        <w:numPr>
          <w:ilvl w:val="0"/>
          <w:numId w:val="16"/>
        </w:numPr>
        <w:spacing w:after="0" w:line="276" w:lineRule="auto"/>
        <w:contextualSpacing/>
        <w:jc w:val="both"/>
        <w:rPr>
          <w:rFonts w:ascii="Aptos" w:eastAsia="Aptos" w:hAnsi="Aptos" w:cs="Times New Roman"/>
          <w:b/>
          <w:bCs/>
          <w:kern w:val="2"/>
          <w14:ligatures w14:val="standardContextual"/>
        </w:rPr>
      </w:pPr>
      <w:r w:rsidRPr="0035174A">
        <w:rPr>
          <w:rFonts w:ascii="Aptos" w:eastAsia="Aptos" w:hAnsi="Aptos" w:cs="Times New Roman"/>
          <w:b/>
          <w:bCs/>
          <w:kern w:val="2"/>
          <w14:ligatures w14:val="standardContextual"/>
        </w:rPr>
        <w:t>K 12, odstavec 8</w:t>
      </w:r>
    </w:p>
    <w:p w14:paraId="1455DCB6" w14:textId="77777777" w:rsidR="0035174A" w:rsidRPr="0035174A" w:rsidRDefault="0035174A" w:rsidP="0035174A">
      <w:pPr>
        <w:spacing w:after="0" w:line="240" w:lineRule="auto"/>
        <w:jc w:val="both"/>
        <w:rPr>
          <w:rFonts w:ascii="Aptos" w:eastAsia="Times New Roman" w:hAnsi="Aptos" w:cs="Calibri"/>
          <w:i/>
          <w:iCs/>
          <w:lang w:eastAsia="cs-CZ"/>
        </w:rPr>
      </w:pPr>
      <w:r w:rsidRPr="0035174A">
        <w:rPr>
          <w:rFonts w:ascii="Aptos" w:eastAsia="Times New Roman" w:hAnsi="Aptos" w:cs="Calibri"/>
          <w:i/>
          <w:iCs/>
          <w:lang w:eastAsia="en-GB"/>
        </w:rPr>
        <w:t>„(8) Žádá-li se o připojení zařízení k napěťové hladině vysokého napětí a vyšších, nevratná část podílu na oprávněných nákladech je ve výši 50 % z hodnoty podílu na oprávněných nákladech.“</w:t>
      </w:r>
    </w:p>
    <w:p w14:paraId="3D00E67E" w14:textId="77777777" w:rsidR="0035174A" w:rsidRPr="0035174A" w:rsidRDefault="0035174A" w:rsidP="0035174A">
      <w:pPr>
        <w:spacing w:after="0" w:line="240" w:lineRule="auto"/>
        <w:jc w:val="both"/>
        <w:rPr>
          <w:rFonts w:ascii="Aptos" w:eastAsia="Times New Roman" w:hAnsi="Aptos" w:cs="Calibri"/>
          <w:lang w:eastAsia="cs-CZ"/>
        </w:rPr>
      </w:pPr>
    </w:p>
    <w:p w14:paraId="66974856" w14:textId="77777777" w:rsidR="0035174A" w:rsidRPr="0035174A" w:rsidRDefault="0035174A" w:rsidP="0035174A">
      <w:pPr>
        <w:spacing w:after="0" w:line="240" w:lineRule="auto"/>
        <w:jc w:val="both"/>
        <w:rPr>
          <w:rFonts w:ascii="Aptos" w:eastAsia="Times New Roman" w:hAnsi="Aptos" w:cs="Calibri"/>
          <w:lang w:eastAsia="cs-CZ"/>
        </w:rPr>
      </w:pPr>
      <w:r w:rsidRPr="0035174A">
        <w:rPr>
          <w:rFonts w:ascii="Aptos" w:eastAsia="Times New Roman" w:hAnsi="Aptos" w:cs="Calibri"/>
          <w:shd w:val="clear" w:color="auto" w:fill="FFFFFF"/>
          <w:lang w:eastAsia="en-GB"/>
        </w:rPr>
        <w:t>Pojem </w:t>
      </w:r>
      <w:r w:rsidRPr="0035174A">
        <w:rPr>
          <w:rFonts w:ascii="Aptos" w:eastAsia="Times New Roman" w:hAnsi="Aptos" w:cs="Calibri"/>
          <w:i/>
          <w:iCs/>
          <w:shd w:val="clear" w:color="auto" w:fill="FFFFFF"/>
          <w:lang w:eastAsia="en-GB"/>
        </w:rPr>
        <w:t>nevratná část</w:t>
      </w:r>
      <w:r w:rsidRPr="0035174A">
        <w:rPr>
          <w:rFonts w:ascii="Aptos" w:eastAsia="Times New Roman" w:hAnsi="Aptos" w:cs="Calibri"/>
          <w:shd w:val="clear" w:color="auto" w:fill="FFFFFF"/>
          <w:lang w:eastAsia="en-GB"/>
        </w:rPr>
        <w:t> bývá v praxi chápán jako náhrada za skutečně vynaložené náklady na přípravu projektu, zejména na zpracování podkladů, studií či projektové dokumentace, zadávaných externím subjektům. Tyto přípravné náklady se běžně pohybují v rozmezí 20–30 % z celkových oprávněných nákladů. Navrhovaná výše 50 % proto působí jako nepřiměřená, zejména v kontextu navýšení měrných nákladů dle přílohy č. 2 k vyhlášce č. 16/2016 Sb. (až 1,02 mil. Kč za MW). Takto vysoká částka může odrazovat i seriózní investory, nikoliv pouze spekulativní žadatele, a ve výsledku zpomalit investice do rozvoje infrastruktury.</w:t>
      </w:r>
    </w:p>
    <w:p w14:paraId="54BEFFE8" w14:textId="77777777" w:rsidR="0035174A" w:rsidRPr="0035174A" w:rsidRDefault="0035174A" w:rsidP="0035174A">
      <w:pPr>
        <w:spacing w:after="0" w:line="240" w:lineRule="auto"/>
        <w:jc w:val="both"/>
        <w:rPr>
          <w:rFonts w:ascii="Aptos" w:eastAsia="Times New Roman" w:hAnsi="Aptos" w:cs="Calibri"/>
          <w:lang w:eastAsia="cs-CZ"/>
        </w:rPr>
      </w:pPr>
    </w:p>
    <w:p w14:paraId="3E6C3A01" w14:textId="77777777" w:rsidR="0035174A" w:rsidRPr="0035174A" w:rsidRDefault="0035174A" w:rsidP="0035174A">
      <w:pPr>
        <w:spacing w:after="0" w:line="240" w:lineRule="auto"/>
        <w:jc w:val="both"/>
        <w:rPr>
          <w:rFonts w:ascii="Aptos" w:eastAsia="Times New Roman" w:hAnsi="Aptos" w:cs="Calibri"/>
          <w:lang w:eastAsia="cs-CZ"/>
        </w:rPr>
      </w:pPr>
      <w:r w:rsidRPr="0035174A">
        <w:rPr>
          <w:rFonts w:ascii="Aptos" w:eastAsia="Times New Roman" w:hAnsi="Aptos" w:cs="Calibri"/>
          <w:lang w:eastAsia="cs-CZ"/>
        </w:rPr>
        <w:t>Samotný koncept nevratné částky je sice podle nás v současné situaci dočasným řešením proti spekulantům, avšak z výše uvedených důvodů nelze podle nás „trestat“ investory za to, že narazí na překážky v rámci developmentu, které nejsou možné zmapovat ještě před podáním žádostí.</w:t>
      </w:r>
    </w:p>
    <w:p w14:paraId="58FA0038" w14:textId="77777777" w:rsidR="0035174A" w:rsidRPr="0035174A" w:rsidRDefault="0035174A" w:rsidP="0035174A">
      <w:pPr>
        <w:spacing w:after="0" w:line="240" w:lineRule="auto"/>
        <w:jc w:val="both"/>
        <w:rPr>
          <w:rFonts w:ascii="Aptos" w:eastAsia="Times New Roman" w:hAnsi="Aptos" w:cs="Calibri"/>
          <w:lang w:eastAsia="cs-CZ"/>
        </w:rPr>
      </w:pPr>
      <w:r w:rsidRPr="0035174A">
        <w:rPr>
          <w:rFonts w:ascii="Aptos" w:eastAsia="Times New Roman" w:hAnsi="Aptos" w:cs="Calibri"/>
          <w:lang w:eastAsia="cs-CZ"/>
        </w:rPr>
        <w:br/>
        <w:t>Částka 50 % je podle nás příliš vysoká a spíš povede k poklesu zájmu investorů o výstavbu OZE v Česku, protože při současných bariérách v povolování (a i investorsky rizikové situaci, kterou způsobilo Ministerstvo financí přílepky v rámci Lex OZE III) by znamenala příliš vysoké riziko.</w:t>
      </w:r>
    </w:p>
    <w:p w14:paraId="09E7459B" w14:textId="77777777" w:rsidR="0035174A" w:rsidRPr="0035174A" w:rsidRDefault="0035174A" w:rsidP="0035174A">
      <w:pPr>
        <w:spacing w:after="0" w:line="240" w:lineRule="auto"/>
        <w:jc w:val="both"/>
        <w:rPr>
          <w:rFonts w:ascii="Aptos" w:eastAsia="Times New Roman" w:hAnsi="Aptos" w:cs="Calibri"/>
          <w:lang w:eastAsia="cs-CZ"/>
        </w:rPr>
      </w:pPr>
    </w:p>
    <w:p w14:paraId="0865F5F2" w14:textId="77777777" w:rsidR="0035174A" w:rsidRPr="0035174A" w:rsidRDefault="0035174A" w:rsidP="0035174A">
      <w:pPr>
        <w:spacing w:after="0" w:line="240" w:lineRule="auto"/>
        <w:jc w:val="both"/>
        <w:rPr>
          <w:rFonts w:ascii="Aptos" w:eastAsia="Times New Roman" w:hAnsi="Aptos" w:cs="Calibri"/>
          <w:lang w:eastAsia="cs-CZ"/>
        </w:rPr>
      </w:pPr>
      <w:r w:rsidRPr="0035174A">
        <w:rPr>
          <w:rFonts w:ascii="Aptos" w:eastAsia="Times New Roman" w:hAnsi="Aptos" w:cs="Calibri"/>
          <w:lang w:eastAsia="cs-CZ"/>
        </w:rPr>
        <w:t>V situaci, kdy investoři zjišťují, že více než polovina projektů v rámci developmentu narazí na neřešitelné překážky (které, jako v případě zahájení změny územního plánu obce, neexistovaly při zahájení procesu), by ztráta 50% poplatků zvýšila náklady na výstavbu OZE o tolik, že Česku nebude moc konkurovat s okolními zeměmi o přízeň investorů a bude ohroženo naplnění SEK a dalších strategických dokumentů.</w:t>
      </w:r>
    </w:p>
    <w:p w14:paraId="4A9905F4" w14:textId="77777777" w:rsidR="0035174A" w:rsidRPr="0035174A" w:rsidRDefault="0035174A" w:rsidP="0035174A">
      <w:pPr>
        <w:spacing w:after="0" w:line="240" w:lineRule="auto"/>
        <w:jc w:val="both"/>
        <w:rPr>
          <w:rFonts w:ascii="Aptos" w:eastAsia="Times New Roman" w:hAnsi="Aptos" w:cs="Calibri"/>
          <w:lang w:eastAsia="cs-CZ"/>
        </w:rPr>
      </w:pPr>
    </w:p>
    <w:p w14:paraId="6B862E97" w14:textId="77777777" w:rsidR="0035174A" w:rsidRPr="0035174A" w:rsidRDefault="0035174A" w:rsidP="0035174A">
      <w:pPr>
        <w:spacing w:after="0" w:line="240" w:lineRule="auto"/>
        <w:jc w:val="both"/>
        <w:rPr>
          <w:rFonts w:ascii="Aptos" w:eastAsia="Times New Roman" w:hAnsi="Aptos" w:cs="Calibri"/>
          <w:lang w:eastAsia="cs-CZ"/>
        </w:rPr>
      </w:pPr>
      <w:r w:rsidRPr="0035174A">
        <w:rPr>
          <w:rFonts w:ascii="Aptos" w:eastAsia="Times New Roman" w:hAnsi="Aptos" w:cs="Calibri"/>
          <w:lang w:eastAsia="cs-CZ"/>
        </w:rPr>
        <w:t>Navrhujeme dvě alternativy:</w:t>
      </w:r>
    </w:p>
    <w:p w14:paraId="15B6459A" w14:textId="77777777" w:rsidR="0035174A" w:rsidRPr="0035174A" w:rsidRDefault="0035174A" w:rsidP="0035174A">
      <w:pPr>
        <w:spacing w:after="0" w:line="240" w:lineRule="auto"/>
        <w:jc w:val="both"/>
        <w:rPr>
          <w:rFonts w:ascii="Aptos" w:eastAsia="Times New Roman" w:hAnsi="Aptos" w:cs="Calibri"/>
          <w:lang w:eastAsia="cs-CZ"/>
        </w:rPr>
      </w:pPr>
    </w:p>
    <w:p w14:paraId="0C98EA68" w14:textId="77777777" w:rsidR="0035174A" w:rsidRPr="0035174A" w:rsidRDefault="0035174A" w:rsidP="0035174A">
      <w:pPr>
        <w:numPr>
          <w:ilvl w:val="0"/>
          <w:numId w:val="11"/>
        </w:numPr>
        <w:shd w:val="clear" w:color="auto" w:fill="FFFFFF"/>
        <w:spacing w:after="0" w:line="240" w:lineRule="auto"/>
        <w:contextualSpacing/>
        <w:jc w:val="both"/>
        <w:rPr>
          <w:rFonts w:ascii="Aptos" w:eastAsia="Times New Roman" w:hAnsi="Aptos" w:cs="Calibri"/>
          <w:lang w:eastAsia="de-DE"/>
        </w:rPr>
      </w:pPr>
      <w:r w:rsidRPr="0035174A">
        <w:rPr>
          <w:rFonts w:ascii="Aptos" w:eastAsia="Times New Roman" w:hAnsi="Aptos" w:cs="Calibri"/>
          <w:bdr w:val="none" w:sz="0" w:space="0" w:color="auto" w:frame="1"/>
          <w:lang w:eastAsia="de-DE"/>
        </w:rPr>
        <w:t xml:space="preserve">Vhodnější alternativou by bylo zavedení mechanismu, kdy by 50 % výše podílu bylo sice složeno ihned jako rezervační poplatek, ale po dobu 6–12 měsíců zůstávalo vratné. Toto období by sloužilo k ověření reálné uskutečnitelnosti projektu – například k zajištění </w:t>
      </w:r>
      <w:r w:rsidRPr="0035174A">
        <w:rPr>
          <w:rFonts w:ascii="Aptos" w:eastAsia="Times New Roman" w:hAnsi="Aptos" w:cs="Calibri"/>
          <w:bdr w:val="none" w:sz="0" w:space="0" w:color="auto" w:frame="1"/>
          <w:lang w:eastAsia="de-DE"/>
        </w:rPr>
        <w:lastRenderedPageBreak/>
        <w:t>věcných břemen, souladu s územním plánem, získání stanoviska obce, posouzení technické proveditelnosti apod. Teprve po uplynutí této lhůty a při pokračování projektu by se částka</w:t>
      </w:r>
      <w:r w:rsidRPr="0035174A">
        <w:rPr>
          <w:rFonts w:ascii="Calibri" w:eastAsia="Times New Roman" w:hAnsi="Calibri" w:cs="Calibri"/>
          <w:bdr w:val="none" w:sz="0" w:space="0" w:color="auto" w:frame="1"/>
          <w:lang w:eastAsia="de-DE"/>
        </w:rPr>
        <w:t xml:space="preserve"> </w:t>
      </w:r>
      <w:r w:rsidRPr="0035174A">
        <w:rPr>
          <w:rFonts w:ascii="Aptos" w:eastAsia="Times New Roman" w:hAnsi="Aptos" w:cs="Calibri"/>
          <w:bdr w:val="none" w:sz="0" w:space="0" w:color="auto" w:frame="1"/>
          <w:lang w:eastAsia="de-DE"/>
        </w:rPr>
        <w:t>stala nevratnou. Pokud by investor z projektu v této lhůtě z objektivních důvodů odstoupil, byla by mu záloha vrácena.</w:t>
      </w:r>
    </w:p>
    <w:p w14:paraId="616559DE" w14:textId="77777777" w:rsidR="0035174A" w:rsidRPr="0035174A" w:rsidRDefault="0035174A" w:rsidP="0035174A">
      <w:pPr>
        <w:shd w:val="clear" w:color="auto" w:fill="FFFFFF"/>
        <w:spacing w:after="0" w:line="240" w:lineRule="auto"/>
        <w:ind w:left="720"/>
        <w:contextualSpacing/>
        <w:jc w:val="both"/>
        <w:rPr>
          <w:rFonts w:ascii="Aptos" w:eastAsia="Times New Roman" w:hAnsi="Aptos" w:cs="Calibri"/>
          <w:lang w:eastAsia="de-DE"/>
        </w:rPr>
      </w:pPr>
      <w:r w:rsidRPr="0035174A">
        <w:rPr>
          <w:rFonts w:ascii="Aptos" w:eastAsia="Times New Roman" w:hAnsi="Aptos" w:cs="Calibri"/>
          <w:bdr w:val="none" w:sz="0" w:space="0" w:color="auto" w:frame="1"/>
          <w:lang w:eastAsia="de-DE"/>
        </w:rPr>
        <w:t>Tento model zachovává motivační funkci poplatku, ale zároveň nepenalizuje investory ve fázi, kdy teprve zjišťují, zda je projekt realizovatelný. Při současné legislativě seriózní investoři obvykle tyto kroky nepodnikají před získáním rezervace kapacity v síti, protože bez ní nemohou projekt dále rozpracovávat.</w:t>
      </w:r>
    </w:p>
    <w:p w14:paraId="08357B6F" w14:textId="77777777" w:rsidR="0035174A" w:rsidRPr="0035174A" w:rsidRDefault="0035174A" w:rsidP="0035174A">
      <w:pPr>
        <w:spacing w:after="0" w:line="240" w:lineRule="auto"/>
        <w:jc w:val="both"/>
        <w:rPr>
          <w:rFonts w:ascii="Calibri" w:eastAsia="Times New Roman" w:hAnsi="Calibri" w:cs="Calibri"/>
          <w:color w:val="404040"/>
          <w:lang w:eastAsia="cs-CZ"/>
        </w:rPr>
      </w:pPr>
    </w:p>
    <w:p w14:paraId="06CD0661" w14:textId="77777777" w:rsidR="0035174A" w:rsidRPr="0035174A" w:rsidRDefault="0035174A" w:rsidP="0035174A">
      <w:pPr>
        <w:numPr>
          <w:ilvl w:val="0"/>
          <w:numId w:val="11"/>
        </w:numPr>
        <w:spacing w:after="0" w:line="276" w:lineRule="auto"/>
        <w:contextualSpacing/>
        <w:jc w:val="both"/>
        <w:rPr>
          <w:rFonts w:ascii="Aptos" w:eastAsia="Times New Roman" w:hAnsi="Aptos" w:cs="Calibri"/>
          <w:lang w:eastAsia="cs-CZ"/>
        </w:rPr>
      </w:pPr>
      <w:r w:rsidRPr="0035174A">
        <w:rPr>
          <w:rFonts w:ascii="Aptos" w:eastAsia="Times New Roman" w:hAnsi="Aptos" w:cs="Calibri"/>
          <w:lang w:eastAsia="cs-CZ"/>
        </w:rPr>
        <w:t>Částku snížit na 10-</w:t>
      </w:r>
      <w:proofErr w:type="gramStart"/>
      <w:r w:rsidRPr="0035174A">
        <w:rPr>
          <w:rFonts w:ascii="Aptos" w:eastAsia="Times New Roman" w:hAnsi="Aptos" w:cs="Calibri"/>
          <w:lang w:eastAsia="cs-CZ"/>
        </w:rPr>
        <w:t>20%</w:t>
      </w:r>
      <w:proofErr w:type="gramEnd"/>
      <w:r w:rsidRPr="0035174A">
        <w:rPr>
          <w:rFonts w:ascii="Aptos" w:eastAsia="Times New Roman" w:hAnsi="Aptos" w:cs="Calibri"/>
          <w:lang w:eastAsia="cs-CZ"/>
        </w:rPr>
        <w:t>.</w:t>
      </w:r>
    </w:p>
    <w:p w14:paraId="027A5B6F" w14:textId="77777777" w:rsidR="0035174A" w:rsidRPr="0035174A" w:rsidRDefault="0035174A" w:rsidP="0035174A">
      <w:pPr>
        <w:pBdr>
          <w:bottom w:val="single" w:sz="4" w:space="1" w:color="auto"/>
        </w:pBdr>
        <w:spacing w:after="120" w:line="276" w:lineRule="auto"/>
        <w:ind w:left="12" w:firstLine="708"/>
        <w:jc w:val="right"/>
        <w:rPr>
          <w:rFonts w:ascii="Calibri" w:eastAsia="Calibri" w:hAnsi="Calibri" w:cs="Calibri"/>
        </w:rPr>
      </w:pPr>
      <w:r w:rsidRPr="0035174A">
        <w:rPr>
          <w:rFonts w:ascii="Calibri" w:eastAsia="Calibri" w:hAnsi="Calibri" w:cs="Calibri"/>
        </w:rPr>
        <w:t>tato připomínka je zásadní</w:t>
      </w:r>
    </w:p>
    <w:p w14:paraId="2B125A89" w14:textId="77777777" w:rsidR="0035174A" w:rsidRPr="0035174A" w:rsidRDefault="0035174A" w:rsidP="0035174A">
      <w:pPr>
        <w:spacing w:after="0" w:line="240" w:lineRule="auto"/>
        <w:jc w:val="both"/>
        <w:rPr>
          <w:rFonts w:ascii="Calibri" w:eastAsia="Times New Roman" w:hAnsi="Calibri" w:cs="Calibri"/>
          <w:color w:val="404040"/>
          <w:lang w:eastAsia="cs-CZ"/>
        </w:rPr>
      </w:pPr>
    </w:p>
    <w:p w14:paraId="6DF576CF" w14:textId="131B88EE" w:rsidR="0035174A" w:rsidRPr="0035174A" w:rsidRDefault="0035174A" w:rsidP="00DC2A97">
      <w:pPr>
        <w:numPr>
          <w:ilvl w:val="0"/>
          <w:numId w:val="16"/>
        </w:numPr>
        <w:spacing w:after="0" w:line="276" w:lineRule="auto"/>
        <w:contextualSpacing/>
        <w:jc w:val="both"/>
        <w:rPr>
          <w:rFonts w:ascii="Aptos" w:eastAsia="Aptos" w:hAnsi="Aptos" w:cs="Times New Roman"/>
          <w:b/>
          <w:bCs/>
          <w:kern w:val="2"/>
          <w14:ligatures w14:val="standardContextual"/>
        </w:rPr>
      </w:pPr>
      <w:r w:rsidRPr="0035174A">
        <w:rPr>
          <w:rFonts w:ascii="Aptos" w:eastAsia="Aptos" w:hAnsi="Aptos" w:cs="Times New Roman"/>
          <w:b/>
          <w:bCs/>
          <w:kern w:val="2"/>
          <w14:ligatures w14:val="standardContextual"/>
        </w:rPr>
        <w:t>K 13, odstavec 4</w:t>
      </w:r>
    </w:p>
    <w:p w14:paraId="7CDBE832" w14:textId="77777777" w:rsidR="0035174A" w:rsidRPr="0035174A" w:rsidRDefault="0035174A" w:rsidP="0035174A">
      <w:pPr>
        <w:shd w:val="clear" w:color="auto" w:fill="FFFFFF"/>
        <w:spacing w:after="0" w:line="240" w:lineRule="auto"/>
        <w:jc w:val="both"/>
        <w:textAlignment w:val="baseline"/>
        <w:rPr>
          <w:rFonts w:ascii="Aptos" w:eastAsia="Times New Roman" w:hAnsi="Aptos" w:cs="Calibri"/>
          <w:lang w:eastAsia="cs-CZ"/>
        </w:rPr>
      </w:pPr>
      <w:r w:rsidRPr="0035174A">
        <w:rPr>
          <w:rFonts w:ascii="Aptos" w:eastAsia="Times New Roman" w:hAnsi="Aptos" w:cs="Calibri"/>
          <w:lang w:eastAsia="cs-CZ"/>
        </w:rPr>
        <w:t xml:space="preserve">V bodu 4), který zní: </w:t>
      </w:r>
      <w:r w:rsidRPr="0035174A">
        <w:rPr>
          <w:rFonts w:ascii="Aptos" w:eastAsia="Times New Roman" w:hAnsi="Aptos" w:cs="Calibri"/>
          <w:i/>
          <w:iCs/>
          <w:lang w:eastAsia="cs-CZ"/>
        </w:rPr>
        <w:t xml:space="preserve">K převedení rezervovaného příkonu nebo výkonu podle odstavců 2 a 3 lze použít pouze rezervovaný příkon nebo výkon již připojených zařízení. Ustanovení § 10 se nepoužije.“ </w:t>
      </w:r>
      <w:r w:rsidRPr="0035174A">
        <w:rPr>
          <w:rFonts w:ascii="Aptos" w:eastAsia="Times New Roman" w:hAnsi="Aptos" w:cs="Calibri"/>
          <w:lang w:eastAsia="cs-CZ"/>
        </w:rPr>
        <w:t>Navrhujeme vypustit slova „již připojených zařízení“.</w:t>
      </w:r>
    </w:p>
    <w:p w14:paraId="1B67AFE4" w14:textId="77777777" w:rsidR="0035174A" w:rsidRPr="0035174A" w:rsidRDefault="0035174A" w:rsidP="0035174A">
      <w:pPr>
        <w:shd w:val="clear" w:color="auto" w:fill="FFFFFF"/>
        <w:spacing w:after="0" w:line="240" w:lineRule="auto"/>
        <w:textAlignment w:val="baseline"/>
        <w:rPr>
          <w:rFonts w:ascii="Calibri" w:eastAsia="Times New Roman" w:hAnsi="Calibri" w:cs="Calibri"/>
          <w:color w:val="404040"/>
          <w:lang w:eastAsia="cs-CZ"/>
        </w:rPr>
      </w:pPr>
    </w:p>
    <w:p w14:paraId="616BB812" w14:textId="07080A73" w:rsidR="00FE53A7" w:rsidRPr="00DD72D5" w:rsidRDefault="0035174A" w:rsidP="00DD72D5">
      <w:pPr>
        <w:pBdr>
          <w:bottom w:val="single" w:sz="4" w:space="1" w:color="auto"/>
        </w:pBdr>
        <w:spacing w:after="120" w:line="276" w:lineRule="auto"/>
        <w:ind w:left="12" w:firstLine="708"/>
        <w:jc w:val="right"/>
        <w:rPr>
          <w:rFonts w:ascii="Calibri" w:eastAsia="Calibri" w:hAnsi="Calibri" w:cs="Calibri"/>
        </w:rPr>
      </w:pPr>
      <w:bookmarkStart w:id="0" w:name="_Hlk195515381"/>
      <w:r w:rsidRPr="0035174A">
        <w:rPr>
          <w:rFonts w:ascii="Calibri" w:eastAsia="Calibri" w:hAnsi="Calibri" w:cs="Calibri"/>
        </w:rPr>
        <w:t>tato připomínka je zásadní</w:t>
      </w:r>
      <w:bookmarkEnd w:id="0"/>
    </w:p>
    <w:p w14:paraId="75375EAA" w14:textId="77777777" w:rsidR="00757E30" w:rsidRPr="00757E30" w:rsidRDefault="00757E30" w:rsidP="00DC2A97">
      <w:pPr>
        <w:numPr>
          <w:ilvl w:val="0"/>
          <w:numId w:val="16"/>
        </w:numPr>
        <w:spacing w:after="0" w:line="276" w:lineRule="auto"/>
        <w:contextualSpacing/>
        <w:jc w:val="both"/>
        <w:rPr>
          <w:rFonts w:ascii="Aptos" w:eastAsia="Aptos" w:hAnsi="Aptos" w:cs="Times New Roman"/>
          <w:b/>
          <w:bCs/>
          <w:kern w:val="2"/>
          <w14:ligatures w14:val="standardContextual"/>
        </w:rPr>
      </w:pPr>
      <w:r w:rsidRPr="00757E30">
        <w:rPr>
          <w:rFonts w:ascii="Aptos" w:eastAsia="Aptos" w:hAnsi="Aptos" w:cs="Times New Roman"/>
          <w:b/>
          <w:bCs/>
          <w:kern w:val="2"/>
          <w14:ligatures w14:val="standardContextual"/>
        </w:rPr>
        <w:t>Zrušení novelizačního bodu 25</w:t>
      </w:r>
    </w:p>
    <w:p w14:paraId="6837A31B" w14:textId="77777777" w:rsidR="00757E30" w:rsidRPr="00757E30" w:rsidRDefault="00757E30" w:rsidP="00DD72D5">
      <w:pPr>
        <w:spacing w:after="0"/>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Připomínka:</w:t>
      </w:r>
    </w:p>
    <w:p w14:paraId="39792CAF"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V předloženém návrhu požadujeme vypustit novelizační bod 25 bez náhrady a promítnout jí po věcné úpravě případně do následné novely vyhlášky.</w:t>
      </w:r>
    </w:p>
    <w:p w14:paraId="78B4024C" w14:textId="77777777" w:rsidR="00757E30" w:rsidRPr="00757E30" w:rsidRDefault="00757E30" w:rsidP="00DD72D5">
      <w:pPr>
        <w:spacing w:after="0"/>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 </w:t>
      </w:r>
      <w:r w:rsidRPr="00757E30">
        <w:rPr>
          <w:rFonts w:ascii="Aptos" w:eastAsia="Aptos" w:hAnsi="Aptos" w:cs="Times New Roman"/>
          <w:b/>
          <w:bCs/>
          <w:kern w:val="2"/>
          <w14:ligatures w14:val="standardContextual"/>
        </w:rPr>
        <w:t>Odůvodnění:</w:t>
      </w:r>
    </w:p>
    <w:p w14:paraId="2CC91DD0"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 xml:space="preserve">Důvodová zpráva k tomuto bodu uvádí, že se jedná o úpravu v návaznosti na projednávaný zákon tzv. Lex plyn. Toto tvrzení není zcela přesné, neboť se jedná o úpravu navrženou v PN 6290, o jehož přijetí se bude hlasovat ve třetím čtení. Z tohoto důvodu se domníváme, že se jedná o úpravu, pro kterou není v zákonné úpravě aktuálně dostatečné zmocnění a zároveň, že nebyla po věcné stránce úprava dostatečně diskutována. Odůvodnění </w:t>
      </w:r>
      <w:r w:rsidRPr="00757E30">
        <w:rPr>
          <w:rFonts w:ascii="Aptos" w:eastAsia="Aptos" w:hAnsi="Aptos" w:cs="Times New Roman"/>
          <w:i/>
          <w:iCs/>
          <w:kern w:val="2"/>
          <w14:ligatures w14:val="standardContextual"/>
        </w:rPr>
        <w:t>Pro napěťové hladině vysokého napětí a vyšších, je tak stanovena nevratná část podílu na oprávněných nákladech ve výši 50 % z hodnoty podílu na oprávněných nákladech, kdy tato hodnota odpovídá již existující vyhláškové povinnosti zálohové platby (a konsoliduje a nenaruší tak již uplatňované systémy vzájemných soukromoprávních platebních povinností sjednávaných ve smlouvě o připojení mimo působnost této vyhlášky).</w:t>
      </w:r>
      <w:r w:rsidRPr="00757E30">
        <w:rPr>
          <w:rFonts w:ascii="Aptos" w:eastAsia="Aptos" w:hAnsi="Aptos" w:cs="Times New Roman"/>
          <w:kern w:val="2"/>
          <w14:ligatures w14:val="standardContextual"/>
        </w:rPr>
        <w:t> nepovažujeme za dostatečné vzhledem k danému tématu a jeho dopadu na provozovatele výroben.</w:t>
      </w:r>
    </w:p>
    <w:p w14:paraId="3A89864F" w14:textId="77777777" w:rsid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Domníváme se, že stanovení nevratného podílu by mělo být provázáno s plněním/neplněním harmonogramu, prodlužování smluv o připojení, případně zavedením pořadníku žadatelů o připojení viz připomínka č. 4.  </w:t>
      </w:r>
    </w:p>
    <w:p w14:paraId="00E86EF5" w14:textId="5F5D5BF2" w:rsidR="00C74E7D" w:rsidRPr="00757E30" w:rsidRDefault="00C74E7D" w:rsidP="00DD72D5">
      <w:pPr>
        <w:pBdr>
          <w:bottom w:val="single" w:sz="4" w:space="1" w:color="auto"/>
        </w:pBdr>
        <w:spacing w:after="120" w:line="276" w:lineRule="auto"/>
        <w:ind w:left="12" w:firstLine="708"/>
        <w:jc w:val="right"/>
        <w:rPr>
          <w:rFonts w:ascii="Calibri" w:eastAsia="Calibri" w:hAnsi="Calibri" w:cs="Calibri"/>
        </w:rPr>
      </w:pPr>
      <w:r w:rsidRPr="0035174A">
        <w:rPr>
          <w:rFonts w:ascii="Calibri" w:eastAsia="Calibri" w:hAnsi="Calibri" w:cs="Calibri"/>
        </w:rPr>
        <w:t>tato připomínka je zásadní</w:t>
      </w:r>
    </w:p>
    <w:p w14:paraId="48F2650F" w14:textId="77777777" w:rsidR="00757E30" w:rsidRPr="00757E30" w:rsidRDefault="00757E30" w:rsidP="00DC2A97">
      <w:pPr>
        <w:numPr>
          <w:ilvl w:val="0"/>
          <w:numId w:val="16"/>
        </w:numPr>
        <w:spacing w:after="0" w:line="276" w:lineRule="auto"/>
        <w:contextualSpacing/>
        <w:jc w:val="both"/>
        <w:rPr>
          <w:rFonts w:ascii="Aptos" w:eastAsia="Aptos" w:hAnsi="Aptos" w:cs="Times New Roman"/>
          <w:b/>
          <w:bCs/>
          <w:kern w:val="2"/>
          <w14:ligatures w14:val="standardContextual"/>
        </w:rPr>
      </w:pPr>
      <w:r w:rsidRPr="00757E30">
        <w:rPr>
          <w:rFonts w:ascii="Aptos" w:eastAsia="Aptos" w:hAnsi="Aptos" w:cs="Times New Roman"/>
          <w:b/>
          <w:bCs/>
          <w:kern w:val="2"/>
          <w14:ligatures w14:val="standardContextual"/>
        </w:rPr>
        <w:t>Úprava možnosti/podmínek převodu rezervovaného výkonu</w:t>
      </w:r>
    </w:p>
    <w:p w14:paraId="161BBA8E" w14:textId="77777777" w:rsidR="00757E30" w:rsidRPr="00757E30" w:rsidRDefault="00757E30" w:rsidP="00DD72D5">
      <w:pPr>
        <w:spacing w:after="0"/>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Připomínka:</w:t>
      </w:r>
    </w:p>
    <w:p w14:paraId="40D0A5B7"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Považujeme za nutné upravit znění § 13 odst. 2 tak, aby v případě vzniku vícenákladů bylo možné převést rezervovaný výkon a příkon, pokud žadatel tyto vícenáklady uhradí. Doporučujeme tudíž za stávající novelizační bod 25 doplnit nový bod 26, který zní:</w:t>
      </w:r>
    </w:p>
    <w:p w14:paraId="1F7225F0"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lastRenderedPageBreak/>
        <w:t>26. V § 13 odstavec 2 zní:</w:t>
      </w:r>
    </w:p>
    <w:p w14:paraId="79263476"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„(2) Rezervovaný příkon nebo výkon lze převádět, jen pokud je to technicky možné, a to i v případě, že převod rezervovaného příkonu nebo výkonu vyvolá dodatečné náklady související s pořízením, výstavbou nebo úpravami přenosové nebo distribuční soustavy. Provozovatel přenosové soustavy nebo distribuční soustavy umožní převod rezervovaného příkonu nebo výkonu pokud se žadatel zaváže k  úhradě dodatečných nákladů souvisejících s pořízením, výstavbou nebo úpravami přenosové nebo distribuční soustavy vyvolanými požadovaným převodem rezervovaného příkonu nebo výkonu a popřípadě i nákladů již vynaložených provozovatelem přenosové soustavy nebo distribuční soustavy na připojení a zajištění požadovaného příkonu nebo výkonu všech míst připojení podle § 11 a 12, se zohledněním žadatelem již uhrazených nákladů spojených s připojením.“.</w:t>
      </w:r>
    </w:p>
    <w:p w14:paraId="49B78F9F"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Ostatní body se přečíslují.</w:t>
      </w:r>
    </w:p>
    <w:p w14:paraId="220DB13D" w14:textId="77777777" w:rsidR="00757E30" w:rsidRPr="00757E30" w:rsidRDefault="00757E30" w:rsidP="00DD72D5">
      <w:pPr>
        <w:spacing w:after="0"/>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Odůvodnění:</w:t>
      </w:r>
      <w:r w:rsidRPr="00757E30">
        <w:rPr>
          <w:rFonts w:ascii="Aptos" w:eastAsia="Aptos" w:hAnsi="Aptos" w:cs="Times New Roman"/>
          <w:kern w:val="2"/>
          <w14:ligatures w14:val="standardContextual"/>
        </w:rPr>
        <w:t> </w:t>
      </w:r>
    </w:p>
    <w:p w14:paraId="025528E9"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Převod rezervovaného výkonu z jednoho navrženého místa připojení do jiného místa připojení prakticky vždy vyvolá určité náklady. Pokud při převodu rezervovaného příkonu nebo výkonu žadatel je ochoten hradit dodatečné náklady, nevidíme důvod žadateli nevyhovět. Převod je často potřeba z majetkoprávních důvodů, kdy žadatel není schopen projednat kabelovou trasu k původně navrženému místu připojení.</w:t>
      </w:r>
    </w:p>
    <w:p w14:paraId="180F2B85" w14:textId="77777777" w:rsidR="00757E30" w:rsidRPr="00757E30" w:rsidRDefault="00757E30" w:rsidP="00DD72D5">
      <w:pPr>
        <w:spacing w:after="0"/>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Platné znění s vyznačením změn:</w:t>
      </w:r>
    </w:p>
    <w:p w14:paraId="19053BA1"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(2) Rezervovaný příkon nebo výkon lze převádět, jen pokud je to technicky možné a realizace převodu rezervovaného příkonu nebo výkonu nevyvolá dodatečné náklady související s pořízením, výstavbou nebo úpravami přenosové nebo distribuční soustavy.</w:t>
      </w:r>
    </w:p>
    <w:p w14:paraId="78CD3D57" w14:textId="77777777" w:rsidR="00757E30" w:rsidRDefault="00757E30" w:rsidP="00757E30">
      <w:pPr>
        <w:rPr>
          <w:rFonts w:ascii="Aptos" w:eastAsia="Aptos" w:hAnsi="Aptos" w:cs="Times New Roman"/>
          <w:b/>
          <w:bCs/>
          <w:kern w:val="2"/>
          <w14:ligatures w14:val="standardContextual"/>
        </w:rPr>
      </w:pPr>
      <w:r w:rsidRPr="00757E30">
        <w:rPr>
          <w:rFonts w:ascii="Aptos" w:eastAsia="Aptos" w:hAnsi="Aptos" w:cs="Times New Roman"/>
          <w:b/>
          <w:bCs/>
          <w:kern w:val="2"/>
          <w14:ligatures w14:val="standardContextual"/>
        </w:rPr>
        <w:t>(2) Rezervovaný příkon nebo výkon lze převádět, jen pokud je to technicky možné, a to i v případě, že převod rezervovaného příkonu nebo výkonu vyvolá dodatečné náklady související s pořízením, výstavbou nebo úpravami přenosové nebo distribuční soustavy. Provozovatel přenosové soustavy nebo distribuční soustavy umožní převod rezervovaného příkonu nebo výkonu pokud se žadatel zaváže k  úhradě dodatečných nákladů souvisejících s pořízením, výstavbou nebo úpravami přenosové nebo distribuční soustavy vyvolanými požadovaným převodem rezervovaného příkonu nebo výkonu a popřípadě i nákladů již vynaložených provozovatelem přenosové soustavy nebo distribuční soustavy na připojení a zajištění požadovaného příkonu nebo výkonu všech míst připojení podle § 11 a 12, se zohledněním žadatelem již uhrazených nákladů spojených s připojením.</w:t>
      </w:r>
    </w:p>
    <w:p w14:paraId="7160351D" w14:textId="4C90AE82" w:rsidR="00C74E7D" w:rsidRPr="00757E30" w:rsidRDefault="00C74E7D" w:rsidP="00C74E7D">
      <w:pPr>
        <w:pBdr>
          <w:bottom w:val="single" w:sz="4" w:space="1" w:color="auto"/>
        </w:pBdr>
        <w:spacing w:after="120" w:line="276" w:lineRule="auto"/>
        <w:ind w:left="12" w:firstLine="708"/>
        <w:jc w:val="right"/>
        <w:rPr>
          <w:rFonts w:ascii="Calibri" w:eastAsia="Calibri" w:hAnsi="Calibri" w:cs="Calibri"/>
        </w:rPr>
      </w:pPr>
      <w:r w:rsidRPr="0035174A">
        <w:rPr>
          <w:rFonts w:ascii="Calibri" w:eastAsia="Calibri" w:hAnsi="Calibri" w:cs="Calibri"/>
        </w:rPr>
        <w:t>tato připomínka je zásadní</w:t>
      </w:r>
    </w:p>
    <w:p w14:paraId="74B73919" w14:textId="77777777" w:rsidR="00757E30" w:rsidRPr="00757E30" w:rsidRDefault="00757E30" w:rsidP="00DC2A97">
      <w:pPr>
        <w:numPr>
          <w:ilvl w:val="0"/>
          <w:numId w:val="16"/>
        </w:numPr>
        <w:spacing w:after="0" w:line="276" w:lineRule="auto"/>
        <w:contextualSpacing/>
        <w:jc w:val="both"/>
        <w:rPr>
          <w:rFonts w:ascii="Aptos" w:eastAsia="Aptos" w:hAnsi="Aptos" w:cs="Times New Roman"/>
          <w:b/>
          <w:bCs/>
          <w:kern w:val="2"/>
          <w14:ligatures w14:val="standardContextual"/>
        </w:rPr>
      </w:pPr>
      <w:r w:rsidRPr="00757E30">
        <w:rPr>
          <w:rFonts w:ascii="Aptos" w:eastAsia="Aptos" w:hAnsi="Aptos" w:cs="Times New Roman"/>
          <w:b/>
          <w:bCs/>
          <w:kern w:val="2"/>
          <w14:ligatures w14:val="standardContextual"/>
        </w:rPr>
        <w:t>Zrušení ustanovení § 13 odst. 4 návrhu vyhlášky</w:t>
      </w:r>
    </w:p>
    <w:p w14:paraId="34167615" w14:textId="77777777" w:rsidR="00757E30" w:rsidRPr="00757E30" w:rsidRDefault="00757E30" w:rsidP="00DD72D5">
      <w:pPr>
        <w:spacing w:after="0"/>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Připomínka:</w:t>
      </w:r>
    </w:p>
    <w:p w14:paraId="5CBCE329"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Požadujeme doplnit nový novelizační bod 26, kterým bude zrušeno ustanovení § 13 odst. 4 bez náhrady. Níže uvádíme návrh znění tohoto bodu:</w:t>
      </w:r>
    </w:p>
    <w:p w14:paraId="55638C70"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26. V § 13 odstavec 4 se ruší.</w:t>
      </w:r>
    </w:p>
    <w:p w14:paraId="670F77C8"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Ostatní body se přečíslují.</w:t>
      </w:r>
    </w:p>
    <w:p w14:paraId="57731E5A"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Alternativně vložit nový novelizační bod v následujícím znění:</w:t>
      </w:r>
    </w:p>
    <w:p w14:paraId="766055B5"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lastRenderedPageBreak/>
        <w:t>26. V § 13 odstavec 4 se ruší slovo “pouze” a slova “již připojených zařízení” nahrazují slovy “rezervovaný ode dne uzavření smlouvy o připojení”.</w:t>
      </w:r>
    </w:p>
    <w:p w14:paraId="68C4F9FC" w14:textId="77777777" w:rsidR="00757E30" w:rsidRPr="00757E30" w:rsidRDefault="00757E30" w:rsidP="00DD72D5">
      <w:pPr>
        <w:spacing w:after="0"/>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Odůvodnění:</w:t>
      </w:r>
      <w:r w:rsidRPr="00757E30">
        <w:rPr>
          <w:rFonts w:ascii="Aptos" w:eastAsia="Aptos" w:hAnsi="Aptos" w:cs="Times New Roman"/>
          <w:kern w:val="2"/>
          <w14:ligatures w14:val="standardContextual"/>
        </w:rPr>
        <w:t> </w:t>
      </w:r>
    </w:p>
    <w:p w14:paraId="67B734DA"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Nepovažujeme za opodstatněné omezení převodu rezervovaného příkonu a výkonu pouze na stávající výrobny. U již připojených zařízení ve většině případů není důvod převodu rezervovaného výkonu, neboť tato zařízení již mají všechno potřebné k provozu zdroje splněno. Naopak vnímáme potřebu povolit převod rezervovaného výkonu u připravovaných projektů, zejm. např. při vynucené změně technologie, kdy původní např. 2MW výkonová řada již není k dispozici a nejbližší náhradou je 4MW výkonová řada, které ale nelze připojit v původním místě do místní sítě, ale blíže k rozvodně, kde má žadatel rezervovaný výkon pro další VTE.</w:t>
      </w:r>
    </w:p>
    <w:p w14:paraId="7A737625" w14:textId="77777777" w:rsidR="00757E30" w:rsidRPr="00757E30" w:rsidRDefault="00757E30" w:rsidP="00BD334E">
      <w:pPr>
        <w:spacing w:after="0"/>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Platné znění s vyznačením změn:</w:t>
      </w:r>
    </w:p>
    <w:p w14:paraId="3A88594F"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Podmínky připojení zařízení k elektrizační soustavě nad rámec standardních připojení</w:t>
      </w:r>
    </w:p>
    <w:p w14:paraId="1BD70CE2"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 13</w:t>
      </w:r>
    </w:p>
    <w:p w14:paraId="24160422"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w:t>
      </w:r>
    </w:p>
    <w:p w14:paraId="7BA95182"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(4) K převedení rezervovaného příkonu nebo výkonu podle odstavců 2 a 3 lze použít pouze rezervovaný příkon nebo výkon již připojených zařízení. Ustanovení § 10 se nepoužije.</w:t>
      </w:r>
    </w:p>
    <w:p w14:paraId="29A8DB2B"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Alternativa:</w:t>
      </w:r>
    </w:p>
    <w:p w14:paraId="4DECCCAC"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(4) K převedení rezervovaného příkonu nebo výkonu podle odstavců 2 a 3 lze použít pouze rezervovaný příkon nebo výkon již připojených zařízení</w:t>
      </w:r>
      <w:r w:rsidRPr="00757E30">
        <w:rPr>
          <w:rFonts w:ascii="Aptos" w:eastAsia="Aptos" w:hAnsi="Aptos" w:cs="Times New Roman"/>
          <w:b/>
          <w:bCs/>
          <w:kern w:val="2"/>
          <w14:ligatures w14:val="standardContextual"/>
        </w:rPr>
        <w:t> rezervovaný ode dne uzavření smlouvy o připojení</w:t>
      </w:r>
      <w:r w:rsidRPr="00757E30">
        <w:rPr>
          <w:rFonts w:ascii="Aptos" w:eastAsia="Aptos" w:hAnsi="Aptos" w:cs="Times New Roman"/>
          <w:kern w:val="2"/>
          <w14:ligatures w14:val="standardContextual"/>
        </w:rPr>
        <w:t>. Ustanovení § 10 se nepoužije.</w:t>
      </w:r>
    </w:p>
    <w:p w14:paraId="53A1E377" w14:textId="77777777" w:rsidR="00C74E7D" w:rsidRPr="0035174A" w:rsidRDefault="00C74E7D" w:rsidP="00C74E7D">
      <w:pPr>
        <w:pBdr>
          <w:bottom w:val="single" w:sz="4" w:space="1" w:color="auto"/>
        </w:pBdr>
        <w:spacing w:after="120" w:line="276" w:lineRule="auto"/>
        <w:ind w:left="12" w:firstLine="708"/>
        <w:jc w:val="right"/>
        <w:rPr>
          <w:rFonts w:ascii="Calibri" w:eastAsia="Calibri" w:hAnsi="Calibri" w:cs="Calibri"/>
        </w:rPr>
      </w:pPr>
      <w:r w:rsidRPr="0035174A">
        <w:rPr>
          <w:rFonts w:ascii="Calibri" w:eastAsia="Calibri" w:hAnsi="Calibri" w:cs="Calibri"/>
        </w:rPr>
        <w:t>tato připomínka je zásadní</w:t>
      </w:r>
    </w:p>
    <w:p w14:paraId="1074CA57" w14:textId="77777777" w:rsidR="00757E30" w:rsidRPr="00757E30" w:rsidRDefault="00757E30" w:rsidP="00757E30">
      <w:pPr>
        <w:rPr>
          <w:rFonts w:ascii="Aptos" w:eastAsia="Aptos" w:hAnsi="Aptos" w:cs="Times New Roman"/>
          <w:kern w:val="2"/>
          <w14:ligatures w14:val="standardContextual"/>
        </w:rPr>
      </w:pPr>
    </w:p>
    <w:p w14:paraId="6B8315A3"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b/>
          <w:bCs/>
          <w:kern w:val="2"/>
          <w14:ligatures w14:val="standardContextual"/>
        </w:rPr>
        <w:t>Připomínky nad rámec návrhu vyhlášky</w:t>
      </w:r>
    </w:p>
    <w:p w14:paraId="1EE20A99" w14:textId="77777777" w:rsidR="00757E30" w:rsidRPr="00757E30" w:rsidRDefault="00757E30" w:rsidP="00DC2A97">
      <w:pPr>
        <w:numPr>
          <w:ilvl w:val="0"/>
          <w:numId w:val="16"/>
        </w:numPr>
        <w:spacing w:after="0" w:line="276" w:lineRule="auto"/>
        <w:contextualSpacing/>
        <w:jc w:val="both"/>
        <w:rPr>
          <w:rFonts w:ascii="Aptos" w:eastAsia="Aptos" w:hAnsi="Aptos" w:cs="Times New Roman"/>
          <w:b/>
          <w:bCs/>
          <w:kern w:val="2"/>
          <w14:ligatures w14:val="standardContextual"/>
        </w:rPr>
      </w:pPr>
      <w:r w:rsidRPr="00757E30">
        <w:rPr>
          <w:rFonts w:ascii="Aptos" w:eastAsia="Aptos" w:hAnsi="Aptos" w:cs="Times New Roman"/>
          <w:b/>
          <w:bCs/>
          <w:kern w:val="2"/>
          <w14:ligatures w14:val="standardContextual"/>
        </w:rPr>
        <w:t>Zavedení “pořadníku” žadatelů o připojení</w:t>
      </w:r>
    </w:p>
    <w:p w14:paraId="60BD5723"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Doporučujeme zavedení tzv. “pořadníku” žadatelů o připojení, kteří nebyli připojeni k elektrizační soustavě podle § 8 odst. 5 vyhlášky, nebo jim bylo umožněno připojení s negarantovaným výkonem podle § 8 odst. 6 návrhu vyhlášky o připojení k elektrizační soustavě, ve spojení s příslušnými ustanoveními energetického zákona. </w:t>
      </w:r>
    </w:p>
    <w:p w14:paraId="5AC4C576" w14:textId="77777777" w:rsidR="00757E30" w:rsidRPr="00757E30" w:rsidRDefault="00757E30" w:rsidP="00757E30">
      <w:pPr>
        <w:rPr>
          <w:rFonts w:ascii="Aptos" w:eastAsia="Aptos" w:hAnsi="Aptos" w:cs="Times New Roman"/>
          <w:kern w:val="2"/>
          <w14:ligatures w14:val="standardContextual"/>
        </w:rPr>
      </w:pPr>
      <w:r w:rsidRPr="00757E30">
        <w:rPr>
          <w:rFonts w:ascii="Aptos" w:eastAsia="Aptos" w:hAnsi="Aptos" w:cs="Times New Roman"/>
          <w:kern w:val="2"/>
          <w14:ligatures w14:val="standardContextual"/>
        </w:rPr>
        <w:t>Tuto úpravu navrhujeme zároveň v zájmu řádné transpozice čl. 6a směrnice 2019/944, o společných pravidlech pro vnitřní trh s elektřinou, ve znění pozdějších předpisů, kdy jedním z požadavků na regulační rámec, který mají členské státy implementovat, je podle odst. 1 písm. b) nadepsaného ustanovení zajištění přechodu ze smluv o flexibilním připojení na smlouvy s pevným připojení na základě stanoveného mechanismu, jakmile to bude umožňovat stav rozvoje sítě.</w:t>
      </w:r>
    </w:p>
    <w:p w14:paraId="0808F73F" w14:textId="620ACE86" w:rsidR="00C74E7D" w:rsidRPr="0035174A" w:rsidRDefault="00C74E7D" w:rsidP="00C74E7D">
      <w:pPr>
        <w:pBdr>
          <w:bottom w:val="single" w:sz="4" w:space="1" w:color="auto"/>
        </w:pBdr>
        <w:spacing w:after="120" w:line="276" w:lineRule="auto"/>
        <w:ind w:left="12" w:firstLine="708"/>
        <w:jc w:val="right"/>
        <w:rPr>
          <w:rFonts w:ascii="Calibri" w:eastAsia="Calibri" w:hAnsi="Calibri" w:cs="Calibri"/>
        </w:rPr>
      </w:pPr>
      <w:r w:rsidRPr="0035174A">
        <w:rPr>
          <w:rFonts w:ascii="Calibri" w:eastAsia="Calibri" w:hAnsi="Calibri" w:cs="Calibri"/>
        </w:rPr>
        <w:t xml:space="preserve">tato připomínka je </w:t>
      </w:r>
      <w:r>
        <w:rPr>
          <w:rFonts w:ascii="Calibri" w:eastAsia="Calibri" w:hAnsi="Calibri" w:cs="Calibri"/>
        </w:rPr>
        <w:t>doporučující</w:t>
      </w:r>
    </w:p>
    <w:p w14:paraId="3C62B7D9" w14:textId="27DC2931" w:rsidR="003A5B48" w:rsidRPr="00FE53A7" w:rsidRDefault="003A5B48" w:rsidP="00FE53A7">
      <w:pPr>
        <w:jc w:val="both"/>
        <w:rPr>
          <w:rFonts w:ascii="Times New Roman" w:hAnsi="Times New Roman" w:cs="Times New Roman"/>
          <w:b/>
          <w:bCs/>
          <w:sz w:val="24"/>
          <w:szCs w:val="24"/>
          <w:u w:val="single"/>
        </w:rPr>
      </w:pPr>
    </w:p>
    <w:sectPr w:rsidR="003A5B48" w:rsidRPr="00FE53A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130B" w14:textId="77777777" w:rsidR="005D3C4E" w:rsidRDefault="005D3C4E" w:rsidP="003A5B48">
      <w:pPr>
        <w:spacing w:after="0" w:line="240" w:lineRule="auto"/>
      </w:pPr>
      <w:r>
        <w:separator/>
      </w:r>
    </w:p>
  </w:endnote>
  <w:endnote w:type="continuationSeparator" w:id="0">
    <w:p w14:paraId="40063F2E" w14:textId="77777777" w:rsidR="005D3C4E" w:rsidRDefault="005D3C4E" w:rsidP="003A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585592"/>
      <w:docPartObj>
        <w:docPartGallery w:val="Page Numbers (Bottom of Page)"/>
        <w:docPartUnique/>
      </w:docPartObj>
    </w:sdtPr>
    <w:sdtEndPr/>
    <w:sdtContent>
      <w:p w14:paraId="539AF2B2" w14:textId="07D10CB2" w:rsidR="00F85D08" w:rsidRDefault="00F85D08">
        <w:pPr>
          <w:pStyle w:val="Zpat"/>
          <w:jc w:val="right"/>
        </w:pPr>
        <w:r>
          <w:fldChar w:fldCharType="begin"/>
        </w:r>
        <w:r>
          <w:instrText>PAGE   \* MERGEFORMAT</w:instrText>
        </w:r>
        <w:r>
          <w:fldChar w:fldCharType="separate"/>
        </w:r>
        <w:r>
          <w:t>2</w:t>
        </w:r>
        <w:r>
          <w:fldChar w:fldCharType="end"/>
        </w:r>
      </w:p>
    </w:sdtContent>
  </w:sdt>
  <w:p w14:paraId="0F3B0AFE" w14:textId="77777777" w:rsidR="00F85D08" w:rsidRDefault="00F85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898A" w14:textId="77777777" w:rsidR="005D3C4E" w:rsidRDefault="005D3C4E" w:rsidP="003A5B48">
      <w:pPr>
        <w:spacing w:after="0" w:line="240" w:lineRule="auto"/>
      </w:pPr>
      <w:r>
        <w:separator/>
      </w:r>
    </w:p>
  </w:footnote>
  <w:footnote w:type="continuationSeparator" w:id="0">
    <w:p w14:paraId="3ECB9F09" w14:textId="77777777" w:rsidR="005D3C4E" w:rsidRDefault="005D3C4E" w:rsidP="003A5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2BA8" w14:textId="4CA2C727" w:rsidR="002258F8" w:rsidRDefault="00EF17C6" w:rsidP="00EF17C6">
    <w:pPr>
      <w:pStyle w:val="Zhlav"/>
    </w:pPr>
    <w:r>
      <w:rPr>
        <w:noProof/>
      </w:rPr>
      <mc:AlternateContent>
        <mc:Choice Requires="wps">
          <w:drawing>
            <wp:anchor distT="0" distB="0" distL="114300" distR="114300" simplePos="0" relativeHeight="251659264" behindDoc="0" locked="0" layoutInCell="1" allowOverlap="1" wp14:anchorId="1BBF031E" wp14:editId="3E66B83B">
              <wp:simplePos x="0" y="0"/>
              <wp:positionH relativeFrom="column">
                <wp:posOffset>1125855</wp:posOffset>
              </wp:positionH>
              <wp:positionV relativeFrom="paragraph">
                <wp:posOffset>20320</wp:posOffset>
              </wp:positionV>
              <wp:extent cx="3784600" cy="533400"/>
              <wp:effectExtent l="0" t="0" r="6350" b="0"/>
              <wp:wrapNone/>
              <wp:docPr id="196372680" name="Textové pole 2"/>
              <wp:cNvGraphicFramePr/>
              <a:graphic xmlns:a="http://schemas.openxmlformats.org/drawingml/2006/main">
                <a:graphicData uri="http://schemas.microsoft.com/office/word/2010/wordprocessingShape">
                  <wps:wsp>
                    <wps:cNvSpPr txBox="1"/>
                    <wps:spPr>
                      <a:xfrm>
                        <a:off x="0" y="0"/>
                        <a:ext cx="3784600" cy="533400"/>
                      </a:xfrm>
                      <a:prstGeom prst="rect">
                        <a:avLst/>
                      </a:prstGeom>
                      <a:solidFill>
                        <a:schemeClr val="lt1"/>
                      </a:solidFill>
                      <a:ln w="6350">
                        <a:noFill/>
                      </a:ln>
                    </wps:spPr>
                    <wps:txbx>
                      <w:txbxContent>
                        <w:p w14:paraId="4E276401" w14:textId="1E93937D" w:rsidR="00EF17C6" w:rsidRPr="00EF17C6" w:rsidRDefault="00EF17C6" w:rsidP="00EF17C6">
                          <w:pPr>
                            <w:jc w:val="center"/>
                            <w:rPr>
                              <w:sz w:val="28"/>
                              <w:szCs w:val="28"/>
                            </w:rPr>
                          </w:pPr>
                          <w:r w:rsidRPr="00EF17C6">
                            <w:rPr>
                              <w:sz w:val="28"/>
                              <w:szCs w:val="28"/>
                            </w:rPr>
                            <w:t xml:space="preserve">ZAMĚSTNAVATELSKÝ SVAZ DŮLNÍHO </w:t>
                          </w:r>
                          <w:r>
                            <w:rPr>
                              <w:sz w:val="28"/>
                              <w:szCs w:val="28"/>
                            </w:rPr>
                            <w:t xml:space="preserve">                    </w:t>
                          </w:r>
                          <w:r w:rsidRPr="00EF17C6">
                            <w:rPr>
                              <w:sz w:val="28"/>
                              <w:szCs w:val="28"/>
                            </w:rPr>
                            <w:t>A NAFTOVÉHO PRŮMYSLU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BF031E" id="_x0000_t202" coordsize="21600,21600" o:spt="202" path="m,l,21600r21600,l21600,xe">
              <v:stroke joinstyle="miter"/>
              <v:path gradientshapeok="t" o:connecttype="rect"/>
            </v:shapetype>
            <v:shape id="Textové pole 2" o:spid="_x0000_s1026" type="#_x0000_t202" style="position:absolute;margin-left:88.65pt;margin-top:1.6pt;width:298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yIKw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Hd/WSWoomjbToeT1BGmOT62ljnvwqoSRByanEssVvs&#10;uHG+cz27hGAOVFWsK6WiEqggVsqSI8MhKh9zRPDfvJQmTU5n42kagTWE5x2y0pjLtaYg+XbX9oXu&#10;oDhh/RY6ajjD1xUmuWHOvzCLXMC6kN/+GQ+pAINAL1FSgv35t/vgjyNCKyUNciun7seBWUGJ+qZx&#10;eJ+Hk0kgY1Qm07sRKvbWsru16EO9Aqx8iJtkeBSDv1dnUVqo33ANliEqmpjmGDun/iyufMd4XCMu&#10;lsvohPQzzG/01vAAHTodRvDavjFr+jl5nPATnFnIsnfj6nzDSw3LgwdZxVmGBndd7fuO1I1s6Ncs&#10;7MatHr2uP4PFLwAAAP//AwBQSwMEFAAGAAgAAAAhAOU99OXdAAAACAEAAA8AAABkcnMvZG93bnJl&#10;di54bWxMj01Pg0AQhu8m/ofNmHgxdhFiaShLY4wfiTdLbdPblh2ByM4Sdgv47x1PenzyvnnnmXwz&#10;206MOPjWkYK7RQQCqXKmpVrBrny+XYHwQZPRnSNU8I0eNsXlRa4z4yZ6x3EbasEj5DOtoAmhz6T0&#10;VYNW+4XrkTj7dIPVgXGopRn0xOO2k3EULaXVLfGFRvf42GD1tT1bBceb+vDm55ePKblP+qfXsUz3&#10;plTq+mp+WIMIOIe/MvzqszoU7HRyZzJedMxpmnBVQRKD4JyR+aRglcYgi1z+f6D4AQAA//8DAFBL&#10;AQItABQABgAIAAAAIQC2gziS/gAAAOEBAAATAAAAAAAAAAAAAAAAAAAAAABbQ29udGVudF9UeXBl&#10;c10ueG1sUEsBAi0AFAAGAAgAAAAhADj9If/WAAAAlAEAAAsAAAAAAAAAAAAAAAAALwEAAF9yZWxz&#10;Ly5yZWxzUEsBAi0AFAAGAAgAAAAhAFnVPIgrAgAAVAQAAA4AAAAAAAAAAAAAAAAALgIAAGRycy9l&#10;Mm9Eb2MueG1sUEsBAi0AFAAGAAgAAAAhAOU99OXdAAAACAEAAA8AAAAAAAAAAAAAAAAAhQQAAGRy&#10;cy9kb3ducmV2LnhtbFBLBQYAAAAABAAEAPMAAACPBQAAAAA=&#10;" fillcolor="white [3201]" stroked="f" strokeweight=".5pt">
              <v:textbox>
                <w:txbxContent>
                  <w:p w14:paraId="4E276401" w14:textId="1E93937D" w:rsidR="00EF17C6" w:rsidRPr="00EF17C6" w:rsidRDefault="00EF17C6" w:rsidP="00EF17C6">
                    <w:pPr>
                      <w:jc w:val="center"/>
                      <w:rPr>
                        <w:sz w:val="28"/>
                        <w:szCs w:val="28"/>
                      </w:rPr>
                    </w:pPr>
                    <w:r w:rsidRPr="00EF17C6">
                      <w:rPr>
                        <w:sz w:val="28"/>
                        <w:szCs w:val="28"/>
                      </w:rPr>
                      <w:t xml:space="preserve">ZAMĚSTNAVATELSKÝ SVAZ DŮLNÍHO </w:t>
                    </w:r>
                    <w:r>
                      <w:rPr>
                        <w:sz w:val="28"/>
                        <w:szCs w:val="28"/>
                      </w:rPr>
                      <w:t xml:space="preserve">                    </w:t>
                    </w:r>
                    <w:r w:rsidRPr="00EF17C6">
                      <w:rPr>
                        <w:sz w:val="28"/>
                        <w:szCs w:val="28"/>
                      </w:rPr>
                      <w:t>A NAFTOVÉHO PRŮMYSLU</w:t>
                    </w:r>
                  </w:p>
                </w:txbxContent>
              </v:textbox>
            </v:shape>
          </w:pict>
        </mc:Fallback>
      </mc:AlternateContent>
    </w:r>
    <w:r>
      <w:rPr>
        <w:noProof/>
      </w:rPr>
      <w:drawing>
        <wp:inline distT="0" distB="0" distL="0" distR="0" wp14:anchorId="0F7393C2" wp14:editId="0EC03A28">
          <wp:extent cx="838200" cy="590550"/>
          <wp:effectExtent l="0" t="0" r="0" b="0"/>
          <wp:docPr id="13675949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pic:spPr>
              </pic:pic>
            </a:graphicData>
          </a:graphic>
        </wp:inline>
      </w:drawing>
    </w:r>
    <w:r>
      <w:tab/>
    </w:r>
    <w:r>
      <w:tab/>
    </w:r>
    <w:r w:rsidR="002258F8">
      <w:t>Příloha č. 1</w:t>
    </w:r>
  </w:p>
  <w:p w14:paraId="441262C7" w14:textId="77777777" w:rsidR="00EF17C6" w:rsidRDefault="00EF17C6" w:rsidP="00EF17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91E"/>
    <w:multiLevelType w:val="hybridMultilevel"/>
    <w:tmpl w:val="10366332"/>
    <w:lvl w:ilvl="0" w:tplc="E2465444">
      <w:start w:val="1"/>
      <w:numFmt w:val="decimal"/>
      <w:lvlText w:val="%1."/>
      <w:lvlJc w:val="left"/>
      <w:pPr>
        <w:tabs>
          <w:tab w:val="num" w:pos="284"/>
        </w:tabs>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207185"/>
    <w:multiLevelType w:val="hybridMultilevel"/>
    <w:tmpl w:val="F40AD72E"/>
    <w:lvl w:ilvl="0" w:tplc="1CA8B62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78506D5"/>
    <w:multiLevelType w:val="hybridMultilevel"/>
    <w:tmpl w:val="183869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A253CD"/>
    <w:multiLevelType w:val="hybridMultilevel"/>
    <w:tmpl w:val="73D8AF98"/>
    <w:lvl w:ilvl="0" w:tplc="EC46FE96">
      <w:numFmt w:val="bullet"/>
      <w:lvlText w:val="-"/>
      <w:lvlJc w:val="left"/>
      <w:pPr>
        <w:ind w:left="644" w:hanging="360"/>
      </w:pPr>
      <w:rPr>
        <w:rFonts w:ascii="Calibri" w:eastAsiaTheme="minorHAnsi" w:hAnsi="Calibri" w:cs="Calibri"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421F6A95"/>
    <w:multiLevelType w:val="hybridMultilevel"/>
    <w:tmpl w:val="48E6F6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A7950ED"/>
    <w:multiLevelType w:val="hybridMultilevel"/>
    <w:tmpl w:val="10366332"/>
    <w:lvl w:ilvl="0" w:tplc="FFFFFFFF">
      <w:start w:val="1"/>
      <w:numFmt w:val="decimal"/>
      <w:lvlText w:val="%1."/>
      <w:lvlJc w:val="left"/>
      <w:pPr>
        <w:tabs>
          <w:tab w:val="num" w:pos="284"/>
        </w:tabs>
        <w:ind w:left="0" w:firstLine="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773C0E"/>
    <w:multiLevelType w:val="hybridMultilevel"/>
    <w:tmpl w:val="253CE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775DD0"/>
    <w:multiLevelType w:val="hybridMultilevel"/>
    <w:tmpl w:val="ABF8C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FD2597"/>
    <w:multiLevelType w:val="hybridMultilevel"/>
    <w:tmpl w:val="50E844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1A6FD5"/>
    <w:multiLevelType w:val="multilevel"/>
    <w:tmpl w:val="2C82FF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9E554DE"/>
    <w:multiLevelType w:val="hybridMultilevel"/>
    <w:tmpl w:val="10366332"/>
    <w:lvl w:ilvl="0" w:tplc="FFFFFFFF">
      <w:start w:val="1"/>
      <w:numFmt w:val="decimal"/>
      <w:lvlText w:val="%1."/>
      <w:lvlJc w:val="left"/>
      <w:pPr>
        <w:tabs>
          <w:tab w:val="num" w:pos="284"/>
        </w:tabs>
        <w:ind w:left="0" w:firstLine="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7D015D"/>
    <w:multiLevelType w:val="multilevel"/>
    <w:tmpl w:val="E44491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3CA611C"/>
    <w:multiLevelType w:val="hybridMultilevel"/>
    <w:tmpl w:val="50ECD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1F0CA4"/>
    <w:multiLevelType w:val="hybridMultilevel"/>
    <w:tmpl w:val="ED242202"/>
    <w:lvl w:ilvl="0" w:tplc="A21C7362">
      <w:start w:val="1"/>
      <w:numFmt w:val="lowerLetter"/>
      <w:lvlText w:val="%1)"/>
      <w:lvlJc w:val="left"/>
      <w:pPr>
        <w:ind w:left="720" w:hanging="360"/>
      </w:pPr>
      <w:rPr>
        <w:rFonts w:ascii="Aptos" w:hAnsi="Apto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3668A0"/>
    <w:multiLevelType w:val="multilevel"/>
    <w:tmpl w:val="3F5E7F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0828734">
    <w:abstractNumId w:val="6"/>
  </w:num>
  <w:num w:numId="2" w16cid:durableId="1188984320">
    <w:abstractNumId w:val="8"/>
  </w:num>
  <w:num w:numId="3" w16cid:durableId="1089697396">
    <w:abstractNumId w:val="2"/>
  </w:num>
  <w:num w:numId="4" w16cid:durableId="1124925821">
    <w:abstractNumId w:val="7"/>
  </w:num>
  <w:num w:numId="5" w16cid:durableId="1819298468">
    <w:abstractNumId w:val="1"/>
  </w:num>
  <w:num w:numId="6" w16cid:durableId="1949652920">
    <w:abstractNumId w:val="1"/>
  </w:num>
  <w:num w:numId="7" w16cid:durableId="733697034">
    <w:abstractNumId w:val="4"/>
  </w:num>
  <w:num w:numId="8" w16cid:durableId="1669746437">
    <w:abstractNumId w:val="0"/>
  </w:num>
  <w:num w:numId="9" w16cid:durableId="591550015">
    <w:abstractNumId w:val="3"/>
  </w:num>
  <w:num w:numId="10" w16cid:durableId="25254053">
    <w:abstractNumId w:val="10"/>
  </w:num>
  <w:num w:numId="11" w16cid:durableId="269944677">
    <w:abstractNumId w:val="13"/>
  </w:num>
  <w:num w:numId="12" w16cid:durableId="859662601">
    <w:abstractNumId w:val="14"/>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341663939">
    <w:abstractNumId w:val="1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808430021">
    <w:abstractNumId w:val="9"/>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094209358">
    <w:abstractNumId w:val="12"/>
  </w:num>
  <w:num w:numId="16" w16cid:durableId="177146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48"/>
    <w:rsid w:val="001901A9"/>
    <w:rsid w:val="00193067"/>
    <w:rsid w:val="001B051E"/>
    <w:rsid w:val="002258F8"/>
    <w:rsid w:val="0035174A"/>
    <w:rsid w:val="003A5B48"/>
    <w:rsid w:val="00450E96"/>
    <w:rsid w:val="004D0EE1"/>
    <w:rsid w:val="00536FC2"/>
    <w:rsid w:val="005C3005"/>
    <w:rsid w:val="005D3C4E"/>
    <w:rsid w:val="0061667F"/>
    <w:rsid w:val="006167A4"/>
    <w:rsid w:val="006D560D"/>
    <w:rsid w:val="006F24F8"/>
    <w:rsid w:val="00757E30"/>
    <w:rsid w:val="00862B95"/>
    <w:rsid w:val="00895D3C"/>
    <w:rsid w:val="009B07E0"/>
    <w:rsid w:val="009C0163"/>
    <w:rsid w:val="009D4D4B"/>
    <w:rsid w:val="009E74E9"/>
    <w:rsid w:val="00B85211"/>
    <w:rsid w:val="00B930E4"/>
    <w:rsid w:val="00BD334E"/>
    <w:rsid w:val="00C30276"/>
    <w:rsid w:val="00C435DC"/>
    <w:rsid w:val="00C74E7D"/>
    <w:rsid w:val="00D205DA"/>
    <w:rsid w:val="00DC2A97"/>
    <w:rsid w:val="00DD7034"/>
    <w:rsid w:val="00DD72D5"/>
    <w:rsid w:val="00E15570"/>
    <w:rsid w:val="00E256C8"/>
    <w:rsid w:val="00E53EE6"/>
    <w:rsid w:val="00EA3614"/>
    <w:rsid w:val="00EF17C6"/>
    <w:rsid w:val="00F85D08"/>
    <w:rsid w:val="00FE53A7"/>
    <w:rsid w:val="00FF79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8B565"/>
  <w15:chartTrackingRefBased/>
  <w15:docId w15:val="{7DFB5D7D-F392-41CB-A996-2084681E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B4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5B48"/>
    <w:pPr>
      <w:ind w:left="720"/>
      <w:contextualSpacing/>
    </w:pPr>
  </w:style>
  <w:style w:type="paragraph" w:styleId="Textpoznpodarou">
    <w:name w:val="footnote text"/>
    <w:basedOn w:val="Normln"/>
    <w:link w:val="TextpoznpodarouChar"/>
    <w:uiPriority w:val="99"/>
    <w:unhideWhenUsed/>
    <w:rsid w:val="003A5B48"/>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rsid w:val="003A5B48"/>
    <w:rPr>
      <w:rFonts w:ascii="Calibri" w:eastAsia="Times New Roman" w:hAnsi="Calibri" w:cs="Times New Roman"/>
      <w:sz w:val="20"/>
      <w:szCs w:val="20"/>
      <w:lang w:eastAsia="cs-CZ"/>
    </w:rPr>
  </w:style>
  <w:style w:type="character" w:styleId="Znakapoznpodarou">
    <w:name w:val="footnote reference"/>
    <w:basedOn w:val="Standardnpsmoodstavce"/>
    <w:uiPriority w:val="99"/>
    <w:unhideWhenUsed/>
    <w:rsid w:val="003A5B48"/>
    <w:rPr>
      <w:rFonts w:cs="Times New Roman"/>
      <w:vertAlign w:val="superscript"/>
    </w:rPr>
  </w:style>
  <w:style w:type="character" w:styleId="Hypertextovodkaz">
    <w:name w:val="Hyperlink"/>
    <w:basedOn w:val="Standardnpsmoodstavce"/>
    <w:uiPriority w:val="99"/>
    <w:unhideWhenUsed/>
    <w:rsid w:val="003A5B48"/>
    <w:rPr>
      <w:color w:val="0563C1" w:themeColor="hyperlink"/>
      <w:u w:val="single"/>
    </w:rPr>
  </w:style>
  <w:style w:type="character" w:styleId="Odkaznakoment">
    <w:name w:val="annotation reference"/>
    <w:basedOn w:val="Standardnpsmoodstavce"/>
    <w:uiPriority w:val="99"/>
    <w:semiHidden/>
    <w:unhideWhenUsed/>
    <w:rsid w:val="00B930E4"/>
    <w:rPr>
      <w:sz w:val="16"/>
      <w:szCs w:val="16"/>
    </w:rPr>
  </w:style>
  <w:style w:type="paragraph" w:styleId="Textkomente">
    <w:name w:val="annotation text"/>
    <w:basedOn w:val="Normln"/>
    <w:link w:val="TextkomenteChar"/>
    <w:uiPriority w:val="99"/>
    <w:semiHidden/>
    <w:unhideWhenUsed/>
    <w:rsid w:val="00B930E4"/>
    <w:pPr>
      <w:spacing w:line="240" w:lineRule="auto"/>
    </w:pPr>
    <w:rPr>
      <w:sz w:val="20"/>
      <w:szCs w:val="20"/>
    </w:rPr>
  </w:style>
  <w:style w:type="character" w:customStyle="1" w:styleId="TextkomenteChar">
    <w:name w:val="Text komentáře Char"/>
    <w:basedOn w:val="Standardnpsmoodstavce"/>
    <w:link w:val="Textkomente"/>
    <w:uiPriority w:val="99"/>
    <w:semiHidden/>
    <w:rsid w:val="00B930E4"/>
    <w:rPr>
      <w:sz w:val="20"/>
      <w:szCs w:val="20"/>
    </w:rPr>
  </w:style>
  <w:style w:type="paragraph" w:styleId="Pedmtkomente">
    <w:name w:val="annotation subject"/>
    <w:basedOn w:val="Textkomente"/>
    <w:next w:val="Textkomente"/>
    <w:link w:val="PedmtkomenteChar"/>
    <w:uiPriority w:val="99"/>
    <w:semiHidden/>
    <w:unhideWhenUsed/>
    <w:rsid w:val="00B930E4"/>
    <w:rPr>
      <w:b/>
      <w:bCs/>
    </w:rPr>
  </w:style>
  <w:style w:type="character" w:customStyle="1" w:styleId="PedmtkomenteChar">
    <w:name w:val="Předmět komentáře Char"/>
    <w:basedOn w:val="TextkomenteChar"/>
    <w:link w:val="Pedmtkomente"/>
    <w:uiPriority w:val="99"/>
    <w:semiHidden/>
    <w:rsid w:val="00B930E4"/>
    <w:rPr>
      <w:b/>
      <w:bCs/>
      <w:sz w:val="20"/>
      <w:szCs w:val="20"/>
    </w:rPr>
  </w:style>
  <w:style w:type="character" w:styleId="Nevyeenzmnka">
    <w:name w:val="Unresolved Mention"/>
    <w:basedOn w:val="Standardnpsmoodstavce"/>
    <w:uiPriority w:val="99"/>
    <w:semiHidden/>
    <w:unhideWhenUsed/>
    <w:rsid w:val="00E53EE6"/>
    <w:rPr>
      <w:color w:val="605E5C"/>
      <w:shd w:val="clear" w:color="auto" w:fill="E1DFDD"/>
    </w:rPr>
  </w:style>
  <w:style w:type="paragraph" w:styleId="Zhlav">
    <w:name w:val="header"/>
    <w:basedOn w:val="Normln"/>
    <w:link w:val="ZhlavChar"/>
    <w:uiPriority w:val="99"/>
    <w:unhideWhenUsed/>
    <w:rsid w:val="002258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58F8"/>
  </w:style>
  <w:style w:type="paragraph" w:styleId="Zpat">
    <w:name w:val="footer"/>
    <w:basedOn w:val="Normln"/>
    <w:link w:val="ZpatChar"/>
    <w:uiPriority w:val="99"/>
    <w:unhideWhenUsed/>
    <w:rsid w:val="002258F8"/>
    <w:pPr>
      <w:tabs>
        <w:tab w:val="center" w:pos="4536"/>
        <w:tab w:val="right" w:pos="9072"/>
      </w:tabs>
      <w:spacing w:after="0" w:line="240" w:lineRule="auto"/>
    </w:pPr>
  </w:style>
  <w:style w:type="character" w:customStyle="1" w:styleId="ZpatChar">
    <w:name w:val="Zápatí Char"/>
    <w:basedOn w:val="Standardnpsmoodstavce"/>
    <w:link w:val="Zpat"/>
    <w:uiPriority w:val="99"/>
    <w:rsid w:val="002258F8"/>
  </w:style>
  <w:style w:type="table" w:styleId="Mkatabulky">
    <w:name w:val="Table Grid"/>
    <w:basedOn w:val="Normlntabulka"/>
    <w:uiPriority w:val="59"/>
    <w:rsid w:val="00EF17C6"/>
    <w:pPr>
      <w:spacing w:after="0" w:line="240" w:lineRule="auto"/>
    </w:pPr>
    <w:rPr>
      <w:rFonts w:ascii="Franklin Gothic Book" w:eastAsia="Times New Roman" w:hAnsi="Franklin Gothic Boo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1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as@zsc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kub.machytka@uzs.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nielova@zsdnp.cz" TargetMode="External"/><Relationship Id="rId4" Type="http://schemas.openxmlformats.org/officeDocument/2006/relationships/webSettings" Target="webSettings.xml"/><Relationship Id="rId9" Type="http://schemas.openxmlformats.org/officeDocument/2006/relationships/hyperlink" Target="mailto:sochor@zsdn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11095</Characters>
  <Application>Microsoft Office Word</Application>
  <DocSecurity>4</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Hrbáčková</dc:creator>
  <cp:keywords/>
  <dc:description/>
  <cp:lastModifiedBy>Jan Zikeš</cp:lastModifiedBy>
  <cp:revision>2</cp:revision>
  <cp:lastPrinted>2025-04-14T07:36:00Z</cp:lastPrinted>
  <dcterms:created xsi:type="dcterms:W3CDTF">2025-04-14T13:52:00Z</dcterms:created>
  <dcterms:modified xsi:type="dcterms:W3CDTF">2025-04-14T13:52:00Z</dcterms:modified>
</cp:coreProperties>
</file>