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A0E" w14:textId="6D08D4CA" w:rsidR="005C2A77" w:rsidRPr="002E6A71" w:rsidRDefault="003F0FD8" w:rsidP="007F6923">
      <w:pP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C516A8" w:rsidRPr="002E6A71">
        <w:rPr>
          <w:rFonts w:asciiTheme="minorHAnsi" w:hAnsiTheme="minorHAnsi" w:cstheme="minorHAnsi"/>
          <w:sz w:val="22"/>
          <w:szCs w:val="22"/>
        </w:rPr>
        <w:t>2</w:t>
      </w:r>
      <w:r w:rsidR="00130FD8" w:rsidRPr="002E6A71">
        <w:rPr>
          <w:rFonts w:asciiTheme="minorHAnsi" w:hAnsiTheme="minorHAnsi" w:cstheme="minorHAnsi"/>
          <w:sz w:val="22"/>
          <w:szCs w:val="22"/>
        </w:rPr>
        <w:t>.</w:t>
      </w:r>
      <w:r w:rsidR="00C516A8" w:rsidRPr="002E6A71">
        <w:rPr>
          <w:rFonts w:asciiTheme="minorHAnsi" w:hAnsiTheme="minorHAnsi" w:cstheme="minorHAnsi"/>
          <w:sz w:val="22"/>
          <w:szCs w:val="22"/>
        </w:rPr>
        <w:t>5</w:t>
      </w:r>
      <w:r w:rsidR="00AD0A7F" w:rsidRPr="002E6A71">
        <w:rPr>
          <w:rFonts w:asciiTheme="minorHAnsi" w:hAnsiTheme="minorHAnsi" w:cstheme="minorHAnsi"/>
          <w:sz w:val="22"/>
          <w:szCs w:val="22"/>
        </w:rPr>
        <w:t>.2025</w:t>
      </w:r>
    </w:p>
    <w:p w14:paraId="0DA1C77B" w14:textId="77777777" w:rsidR="005C2A77" w:rsidRPr="002E6A71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2E6A71" w:rsidRDefault="00C146C9" w:rsidP="00206637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2E6A71">
        <w:rPr>
          <w:rFonts w:asciiTheme="minorHAnsi" w:hAnsiTheme="minorHAnsi" w:cstheme="minorHAnsi"/>
          <w:caps/>
          <w:sz w:val="22"/>
          <w:szCs w:val="22"/>
        </w:rPr>
        <w:t>STANOVISKO</w:t>
      </w:r>
      <w:r w:rsidR="005C2A77" w:rsidRPr="002E6A71">
        <w:rPr>
          <w:rFonts w:asciiTheme="minorHAnsi" w:hAnsiTheme="minorHAnsi" w:cstheme="minorHAnsi"/>
          <w:caps/>
          <w:sz w:val="22"/>
          <w:szCs w:val="22"/>
        </w:rPr>
        <w:t xml:space="preserve"> UZS ČR</w:t>
      </w:r>
    </w:p>
    <w:p w14:paraId="7555E7CB" w14:textId="77777777" w:rsidR="00206637" w:rsidRPr="002E6A71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20DC7682" w:rsidR="00C16E04" w:rsidRPr="002E6A71" w:rsidRDefault="007B029A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K návrhu </w:t>
      </w:r>
      <w:r w:rsidR="00C516A8" w:rsidRPr="002E6A71">
        <w:rPr>
          <w:rFonts w:asciiTheme="minorHAnsi" w:hAnsiTheme="minorHAnsi" w:cstheme="minorHAnsi"/>
          <w:b/>
          <w:bCs/>
          <w:sz w:val="22"/>
          <w:szCs w:val="22"/>
        </w:rPr>
        <w:t>zákona, kterým se mění některé zákony v souvislosti se smlouvami o finančních službách uzavíranými na dálku</w:t>
      </w:r>
    </w:p>
    <w:p w14:paraId="6D094E40" w14:textId="77777777" w:rsidR="00130FD8" w:rsidRPr="002E6A71" w:rsidRDefault="00130FD8" w:rsidP="007674A4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321A7DF1" w14:textId="336F90BA" w:rsidR="007674A4" w:rsidRPr="002E6A71" w:rsidRDefault="00C516A8" w:rsidP="007674A4">
      <w:pPr>
        <w:shd w:val="clear" w:color="auto" w:fill="FFFFFF"/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E6A7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Konkrétní připomínky</w:t>
      </w:r>
    </w:p>
    <w:p w14:paraId="7A78EA74" w14:textId="427FEB0C" w:rsidR="00C516A8" w:rsidRPr="002E6A71" w:rsidRDefault="00C516A8" w:rsidP="00C516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zákona o ochraně spotřebitele, k § </w:t>
      </w:r>
      <w:proofErr w:type="gramStart"/>
      <w:r w:rsidRPr="002E6A71">
        <w:rPr>
          <w:rFonts w:asciiTheme="minorHAnsi" w:hAnsiTheme="minorHAnsi" w:cstheme="minorHAnsi"/>
          <w:b/>
          <w:sz w:val="22"/>
          <w:szCs w:val="22"/>
        </w:rPr>
        <w:t>5e - Povinnosti</w:t>
      </w:r>
      <w:proofErr w:type="gramEnd"/>
      <w:r w:rsidRPr="002E6A71">
        <w:rPr>
          <w:rFonts w:asciiTheme="minorHAnsi" w:hAnsiTheme="minorHAnsi" w:cstheme="minorHAnsi"/>
          <w:b/>
          <w:sz w:val="22"/>
          <w:szCs w:val="22"/>
        </w:rPr>
        <w:t xml:space="preserve"> při uzavírání smluv o finančních službách distančním způsobem </w:t>
      </w:r>
    </w:p>
    <w:p w14:paraId="3C1730CB" w14:textId="18DD3CF9" w:rsidR="00C516A8" w:rsidRPr="002E6A71" w:rsidRDefault="00C516A8" w:rsidP="00C516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Navrhujeme uvést alespoň demonstrativní výčet zakázaných klamavých nebo manipulativních praktik poskytovatelů finančních služeb v případě používání online rozhraní v DZ.</w:t>
      </w:r>
    </w:p>
    <w:p w14:paraId="60B7B50F" w14:textId="7BE2AFD1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Z pohledu pojmosloví v NOZ § 1842 a násl. bychom byli spíše pro to definovat jako finanční služby, k jejichž uzavření byl použit výhradně prostředek komunikace na dálku (nikoliv tedy obecně distanční způsob)</w:t>
      </w:r>
    </w:p>
    <w:p w14:paraId="3EC9BC32" w14:textId="37E5A170" w:rsidR="00C516A8" w:rsidRPr="002E6A71" w:rsidRDefault="00C516A8" w:rsidP="00C516A8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5FB91B94" w14:textId="77777777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9CB31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>Ke změně občanského zákoníku, k § 1830a, odst. 2</w:t>
      </w:r>
      <w:r w:rsidRPr="002E6A7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B63DCD3" w14:textId="6A84F19D" w:rsidR="00C516A8" w:rsidRPr="002E6A71" w:rsidRDefault="00C516A8" w:rsidP="00C516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Navrhujeme doplnit poslední větu tak, aby bylo zřejmá vazba tlačítka na prohlášení o odstoupení:</w:t>
      </w:r>
      <w:r w:rsidRPr="002E6A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„Tlačítko nebo obdobný ovládací prvek pro odstoupení od smlouvy musí být v on-line rozhraní umístěny viditelným způsobem, snadno přístupné, dostupné nepřetržitě po celou lhůtu pro odstoupení od smlouvy a musí být označeny snadno čitelným nápisem „Odstoupit od smlouvy“ nebo jinou odpovídající jednoznačnou formulací“</w:t>
      </w:r>
      <w:r w:rsidRPr="002E6A71">
        <w:rPr>
          <w:rFonts w:asciiTheme="minorHAnsi" w:hAnsiTheme="minorHAnsi" w:cstheme="minorHAnsi"/>
          <w:bCs/>
          <w:sz w:val="22"/>
          <w:szCs w:val="22"/>
        </w:rPr>
        <w:t>, která umožní spotřebiteli vyplnit a poslat prohlášení o odstoupení od smlouvy.</w:t>
      </w:r>
    </w:p>
    <w:p w14:paraId="7BD3728F" w14:textId="77777777" w:rsidR="00C516A8" w:rsidRPr="002E6A71" w:rsidRDefault="00C516A8" w:rsidP="00C516A8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211B5F40" w14:textId="77777777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47068" w14:textId="77777777" w:rsidR="002E6A71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>Ke změně občanského zákoníku, k § 1830a, odst. 3, písm. c</w:t>
      </w:r>
      <w:r w:rsidRPr="002E6A7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221D080" w14:textId="7FD08D94" w:rsidR="00C516A8" w:rsidRPr="002E6A71" w:rsidRDefault="00C516A8" w:rsidP="00C516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Navrhujeme doplnit slovo „podnikatelem“ z důvodu větší jasnosti.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 „údaj o elektronickém prostředku pro zaslání potvrzení o přijetí odstoupení od smlouvy“</w:t>
      </w:r>
      <w:r w:rsidRPr="002E6A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6A71">
        <w:rPr>
          <w:rFonts w:asciiTheme="minorHAnsi" w:hAnsiTheme="minorHAnsi" w:cstheme="minorHAnsi"/>
          <w:bCs/>
          <w:sz w:val="22"/>
          <w:szCs w:val="22"/>
        </w:rPr>
        <w:t>podnikatelem</w:t>
      </w:r>
      <w:r w:rsidRPr="002E6A71">
        <w:rPr>
          <w:rFonts w:asciiTheme="minorHAnsi" w:hAnsiTheme="minorHAnsi" w:cstheme="minorHAnsi"/>
          <w:b/>
          <w:sz w:val="22"/>
          <w:szCs w:val="22"/>
        </w:rPr>
        <w:t>.</w:t>
      </w:r>
    </w:p>
    <w:p w14:paraId="62594E95" w14:textId="77777777" w:rsidR="00C516A8" w:rsidRPr="002E6A71" w:rsidRDefault="00C516A8" w:rsidP="00C516A8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56488575" w14:textId="77777777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6E1C0" w14:textId="77777777" w:rsidR="002E6A71" w:rsidRPr="002E6A71" w:rsidRDefault="00C516A8" w:rsidP="00C516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§ 1843, odst. 1 písm. d) </w:t>
      </w:r>
    </w:p>
    <w:p w14:paraId="3734B3DE" w14:textId="4D05C1C1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Chybí údaj zastoupeného podnikatele: viz směrnice: 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„relevantní kontaktní údaje, kam může spotřebitel zaslat případné stížnosti obchodníkovi a připadá-li to v úvahu obchodníkovi, v jehož zastoupení jedná;“ </w:t>
      </w:r>
      <w:r w:rsidRPr="002E6A71">
        <w:rPr>
          <w:rFonts w:asciiTheme="minorHAnsi" w:hAnsiTheme="minorHAnsi" w:cstheme="minorHAnsi"/>
          <w:sz w:val="22"/>
          <w:szCs w:val="22"/>
        </w:rPr>
        <w:t xml:space="preserve">Navrhujeme tedy doplnit v případě, že podnikatel jedná za jiného podnikatele, také jeho kontaktní údaje, např. takto: </w:t>
      </w:r>
    </w:p>
    <w:p w14:paraId="7BE527BB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6A71">
        <w:rPr>
          <w:rFonts w:asciiTheme="minorHAnsi" w:hAnsiTheme="minorHAnsi" w:cstheme="minorHAnsi"/>
          <w:b/>
          <w:bCs/>
          <w:sz w:val="22"/>
          <w:szCs w:val="22"/>
        </w:rPr>
        <w:t>„d)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E6A71">
        <w:rPr>
          <w:rFonts w:asciiTheme="minorHAnsi" w:hAnsiTheme="minorHAnsi" w:cstheme="minorHAnsi"/>
          <w:sz w:val="22"/>
          <w:szCs w:val="22"/>
        </w:rPr>
        <w:t>kontaktní údaje, na něž může spotřebitel zaslat stížnost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E6A71">
        <w:rPr>
          <w:rFonts w:asciiTheme="minorHAnsi" w:hAnsiTheme="minorHAnsi" w:cstheme="minorHAnsi"/>
          <w:sz w:val="22"/>
          <w:szCs w:val="22"/>
        </w:rPr>
        <w:t>v případě, že podnikatel jedná za jiného podnikatele, také jeho kontaktní údaje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,“</w:t>
      </w:r>
    </w:p>
    <w:p w14:paraId="31DDE0DF" w14:textId="5D5C27B0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zásadní</w:t>
      </w:r>
    </w:p>
    <w:p w14:paraId="21323A34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B0420B" w14:textId="77777777" w:rsidR="002E6A71" w:rsidRDefault="00C516A8" w:rsidP="002E6A7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proofErr w:type="spellStart"/>
      <w:r w:rsidRPr="002E6A71">
        <w:rPr>
          <w:rFonts w:asciiTheme="minorHAnsi" w:hAnsiTheme="minorHAnsi" w:cstheme="minorHAnsi"/>
          <w:b/>
          <w:bCs/>
          <w:sz w:val="22"/>
          <w:szCs w:val="22"/>
        </w:rPr>
        <w:t>k</w:t>
      </w:r>
      <w:proofErr w:type="spellEnd"/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 § 1843 odst. 2 věta druhá</w:t>
      </w:r>
      <w:r w:rsidRPr="002E6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FADBE" w14:textId="59C39ECF" w:rsidR="00C516A8" w:rsidRPr="002E6A71" w:rsidRDefault="00C516A8" w:rsidP="002E6A7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i/>
          <w:iCs/>
          <w:sz w:val="22"/>
          <w:szCs w:val="22"/>
        </w:rPr>
        <w:t>(Na žádost spotřebitele se zdravotním postižením mu podnikatel sdělí tyto údaje ve vhodném a přístupném formátu.</w:t>
      </w:r>
      <w:r w:rsidRPr="002E6A71">
        <w:rPr>
          <w:rFonts w:asciiTheme="minorHAnsi" w:hAnsiTheme="minorHAnsi" w:cstheme="minorHAnsi"/>
          <w:sz w:val="22"/>
          <w:szCs w:val="22"/>
        </w:rPr>
        <w:t>)</w:t>
      </w:r>
    </w:p>
    <w:p w14:paraId="6BE9051F" w14:textId="6BE9CA3E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Navrhujeme doplnění této věty </w:t>
      </w:r>
      <w:r w:rsidR="002E6A71">
        <w:rPr>
          <w:rFonts w:asciiTheme="minorHAnsi" w:hAnsiTheme="minorHAnsi" w:cstheme="minorHAnsi"/>
          <w:sz w:val="22"/>
          <w:szCs w:val="22"/>
        </w:rPr>
        <w:t>o dovětek: „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to neplatí, pokud sdělované informace splňují požadavky na přístupnost služby ustanovené podle zvláštního právního předpisu.“</w:t>
      </w:r>
    </w:p>
    <w:p w14:paraId="657671D1" w14:textId="77777777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  <w:u w:val="single"/>
        </w:rPr>
        <w:t>Odůvodnění</w:t>
      </w:r>
      <w:r w:rsidRPr="002E6A71">
        <w:rPr>
          <w:rFonts w:asciiTheme="minorHAnsi" w:hAnsiTheme="minorHAnsi" w:cstheme="minorHAnsi"/>
          <w:sz w:val="22"/>
          <w:szCs w:val="22"/>
        </w:rPr>
        <w:t xml:space="preserve">: Ustanovení považujeme za částečně duplicitní se zákonem č. 424/2023 Sb., o požadavcích na přístupnost některých výrobků a služeb. Ten klade mnohem detailnější požadavky a </w:t>
      </w:r>
      <w:r w:rsidRPr="002E6A71">
        <w:rPr>
          <w:rFonts w:asciiTheme="minorHAnsi" w:hAnsiTheme="minorHAnsi" w:cstheme="minorHAnsi"/>
          <w:sz w:val="22"/>
          <w:szCs w:val="22"/>
        </w:rPr>
        <w:lastRenderedPageBreak/>
        <w:t>jejich splnění není omezeno jen na případy, kdy osoba se zdravotním postižením podá žádost. Tento zákon by se tedy měl uplatnit přednostně – a pro takové případy není vhodné zakládat v § 1843 odst. 2 duplicitu.</w:t>
      </w:r>
    </w:p>
    <w:p w14:paraId="49FDE3C4" w14:textId="77777777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zásadní</w:t>
      </w:r>
    </w:p>
    <w:p w14:paraId="0BF94D00" w14:textId="77777777" w:rsidR="00C516A8" w:rsidRPr="002E6A71" w:rsidRDefault="00C516A8" w:rsidP="002E6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A89C1" w14:textId="77777777" w:rsidR="002E6A71" w:rsidRPr="002E6A71" w:rsidRDefault="00C516A8" w:rsidP="002E6A7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§ 1843 odst. 1 písm. h) </w:t>
      </w:r>
    </w:p>
    <w:p w14:paraId="37EA813F" w14:textId="4AE9ABC4" w:rsidR="00C516A8" w:rsidRPr="002E6A71" w:rsidRDefault="00C516A8" w:rsidP="002E6A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Navrhujeme převzít doslova znění směrnice: „celkovou cenu poskytované služby včetně všech daní, poplatků a jiných obdobných peněžitých plnění placených prostřednictvím podnikatele a jiných souvisejících nákladů; nelze-li přesnou celkovou cenu určit předem, pak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základ pro výpočet ceny</w:t>
      </w:r>
      <w:r w:rsidRPr="002E6A71">
        <w:rPr>
          <w:rFonts w:asciiTheme="minorHAnsi" w:hAnsiTheme="minorHAnsi" w:cstheme="minorHAnsi"/>
          <w:sz w:val="22"/>
          <w:szCs w:val="22"/>
        </w:rPr>
        <w:t xml:space="preserve"> umožňující spotřebiteli cenu ověřit.“</w:t>
      </w:r>
    </w:p>
    <w:p w14:paraId="29157E36" w14:textId="77777777" w:rsidR="002E6A71" w:rsidRDefault="00C516A8" w:rsidP="002E6A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  <w:u w:val="single"/>
        </w:rPr>
        <w:t>Odůvodnění</w:t>
      </w:r>
      <w:r w:rsidRPr="002E6A7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6D0E40" w14:textId="016F6229" w:rsidR="00C516A8" w:rsidRDefault="00C516A8" w:rsidP="002E6A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Zákonodárcem navržená formulace jde nad rámec směrnice. Ta v čl. </w:t>
      </w:r>
      <w:proofErr w:type="gramStart"/>
      <w:r w:rsidRPr="002E6A71">
        <w:rPr>
          <w:rFonts w:asciiTheme="minorHAnsi" w:hAnsiTheme="minorHAnsi" w:cstheme="minorHAnsi"/>
          <w:sz w:val="22"/>
          <w:szCs w:val="22"/>
        </w:rPr>
        <w:t>16a</w:t>
      </w:r>
      <w:proofErr w:type="gramEnd"/>
      <w:r w:rsidRPr="002E6A71">
        <w:rPr>
          <w:rFonts w:asciiTheme="minorHAnsi" w:hAnsiTheme="minorHAnsi" w:cstheme="minorHAnsi"/>
          <w:sz w:val="22"/>
          <w:szCs w:val="22"/>
        </w:rPr>
        <w:t xml:space="preserve"> bod. 1 písm. g) používá užší formulaci „základ pro výpočet ceny“. Výraz „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veškeré</w:t>
      </w:r>
      <w:r w:rsidRPr="002E6A71">
        <w:rPr>
          <w:rFonts w:asciiTheme="minorHAnsi" w:hAnsiTheme="minorHAnsi" w:cstheme="minorHAnsi"/>
          <w:sz w:val="22"/>
          <w:szCs w:val="22"/>
        </w:rPr>
        <w:t xml:space="preserve"> údaje o způsobu výpočtu konečné ceny“ je kategorický a velmi rozšiřující.</w:t>
      </w:r>
    </w:p>
    <w:p w14:paraId="65B9C1B5" w14:textId="77777777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zásadní</w:t>
      </w:r>
    </w:p>
    <w:p w14:paraId="04C88838" w14:textId="77777777" w:rsidR="00C516A8" w:rsidRPr="002E6A71" w:rsidRDefault="00C516A8" w:rsidP="002E6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9078B" w14:textId="72E3A3D9" w:rsidR="002E6A71" w:rsidRDefault="00C516A8" w:rsidP="002E6A71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§ 1844a, odst</w:t>
      </w:r>
      <w:r w:rsidR="002E6A7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 3)</w:t>
      </w:r>
      <w:r w:rsidRPr="002E6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E863F" w14:textId="77777777" w:rsidR="002E6A71" w:rsidRDefault="00C516A8" w:rsidP="002E6A71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Navrhujeme doplnit text tak, aby bylo zřejmé, že spotřebiteli jsou sdělovány místo všech údajů pouze některé. Ty údaje, které nebudou sděleny</w:t>
      </w:r>
      <w:r w:rsidR="002E6A71">
        <w:rPr>
          <w:rFonts w:asciiTheme="minorHAnsi" w:hAnsiTheme="minorHAnsi" w:cstheme="minorHAnsi"/>
          <w:sz w:val="22"/>
          <w:szCs w:val="22"/>
        </w:rPr>
        <w:t>,</w:t>
      </w:r>
      <w:r w:rsidRPr="002E6A71">
        <w:rPr>
          <w:rFonts w:asciiTheme="minorHAnsi" w:hAnsiTheme="minorHAnsi" w:cstheme="minorHAnsi"/>
          <w:sz w:val="22"/>
          <w:szCs w:val="22"/>
        </w:rPr>
        <w:t xml:space="preserve"> musí být spotřebiteli poskytnuty po uzavření smlouvy. </w:t>
      </w:r>
    </w:p>
    <w:p w14:paraId="1C1E6D17" w14:textId="1E13EF42" w:rsidR="00C516A8" w:rsidRPr="002E6A71" w:rsidRDefault="00C516A8" w:rsidP="002E6A71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Tak, jak je nyní formulováno, se jde nad rámec směrnice: 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Odchylně od odstavce 1 může obchodník v případě hlasové telefonické komunikace uvedené v odstavci 3, pokud s tím spotřebitel výslovně souhlasí, poskytnout pouze informace uvedené v odst. 1 písm. a), f), g), k) a p) před tím, než je spotřebitel vázán smlouvou uzavřenou na dálku. V takovém případě obchodník informuje spotřebitele o povaze a dostupnosti ostatních informací uvedených v odstavci 1. Obchodník poskytne tyto další informace požadované podle odstavce 1 na trvalém nosiči bezprostředně po uzavření smlouvy na dálku. </w:t>
      </w:r>
    </w:p>
    <w:p w14:paraId="564BCD4B" w14:textId="77777777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0F8A18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A71">
        <w:rPr>
          <w:rFonts w:asciiTheme="minorHAnsi" w:hAnsiTheme="minorHAnsi" w:cstheme="minorHAnsi"/>
          <w:bCs/>
          <w:sz w:val="22"/>
          <w:szCs w:val="22"/>
        </w:rPr>
        <w:t>Navrhované znění odstavce 3)</w:t>
      </w:r>
      <w:r w:rsidRPr="002E6A7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E6A71">
        <w:rPr>
          <w:rFonts w:asciiTheme="minorHAnsi" w:hAnsiTheme="minorHAnsi" w:cstheme="minorHAnsi"/>
          <w:bCs/>
          <w:sz w:val="22"/>
          <w:szCs w:val="22"/>
        </w:rPr>
        <w:t xml:space="preserve">V případě hovoru podle odstavce 1 může podnikatel spotřebiteli sdělit místo </w:t>
      </w:r>
      <w:r w:rsidRPr="002E6A7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všech </w:t>
      </w:r>
      <w:r w:rsidRPr="002E6A71">
        <w:rPr>
          <w:rFonts w:asciiTheme="minorHAnsi" w:hAnsiTheme="minorHAnsi" w:cstheme="minorHAnsi"/>
          <w:bCs/>
          <w:sz w:val="22"/>
          <w:szCs w:val="22"/>
        </w:rPr>
        <w:t xml:space="preserve">údajů podle § 1843 odst. 1 pouze údaje podle § 1843 odst. 1 písm. a), b), g), h), k) a q), pokud s tím spotřebitel vysloví souhlas. V takovém případě podnikatel spotřebitele informuje o povaze dalších </w:t>
      </w:r>
      <w:r w:rsidRPr="002E6A7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nesdělených </w:t>
      </w:r>
      <w:r w:rsidRPr="002E6A71">
        <w:rPr>
          <w:rFonts w:asciiTheme="minorHAnsi" w:hAnsiTheme="minorHAnsi" w:cstheme="minorHAnsi"/>
          <w:bCs/>
          <w:sz w:val="22"/>
          <w:szCs w:val="22"/>
        </w:rPr>
        <w:t xml:space="preserve">údajů podle § 1843 odst. 1 a o jejich dostupnosti. Podnikatel sdělí spotřebiteli </w:t>
      </w:r>
      <w:r w:rsidRPr="002E6A7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tyto nesdělené </w:t>
      </w:r>
      <w:r w:rsidRPr="002E6A71">
        <w:rPr>
          <w:rFonts w:asciiTheme="minorHAnsi" w:hAnsiTheme="minorHAnsi" w:cstheme="minorHAnsi"/>
          <w:bCs/>
          <w:sz w:val="22"/>
          <w:szCs w:val="22"/>
        </w:rPr>
        <w:t>údaje podle § 1843 odst. 1 v textové podobě bezprostředně po uzavření smlouvy.</w:t>
      </w:r>
    </w:p>
    <w:p w14:paraId="02153B78" w14:textId="77777777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30317803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612F7F" w14:textId="77777777" w:rsidR="002E6A71" w:rsidRDefault="00C516A8" w:rsidP="002E6A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§ 1845, odst. 1) </w:t>
      </w:r>
    </w:p>
    <w:p w14:paraId="74D5D4E4" w14:textId="22214CAF" w:rsidR="00C516A8" w:rsidRDefault="00C516A8" w:rsidP="002E6A71">
      <w:pPr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2E6A71">
        <w:rPr>
          <w:rStyle w:val="cf01"/>
          <w:rFonts w:asciiTheme="minorHAnsi" w:hAnsiTheme="minorHAnsi" w:cstheme="minorHAnsi"/>
          <w:sz w:val="22"/>
          <w:szCs w:val="22"/>
        </w:rPr>
        <w:t>Navrhujeme upravit písm. b) a c) tak, aby více odpovídalo směrnici. Například v písm. c) Směrnice zmiňuje uvedení konkrétních důsledk</w:t>
      </w:r>
      <w:r w:rsidR="002E6A71">
        <w:rPr>
          <w:rStyle w:val="cf01"/>
          <w:rFonts w:asciiTheme="minorHAnsi" w:hAnsiTheme="minorHAnsi" w:cstheme="minorHAnsi"/>
          <w:sz w:val="22"/>
          <w:szCs w:val="22"/>
        </w:rPr>
        <w:t>ů,</w:t>
      </w:r>
      <w:r w:rsidRPr="002E6A71">
        <w:rPr>
          <w:rStyle w:val="cf01"/>
          <w:rFonts w:asciiTheme="minorHAnsi" w:hAnsiTheme="minorHAnsi" w:cstheme="minorHAnsi"/>
          <w:sz w:val="22"/>
          <w:szCs w:val="22"/>
        </w:rPr>
        <w:t xml:space="preserve"> pouze pokud to připadá v úvahu.</w:t>
      </w:r>
    </w:p>
    <w:p w14:paraId="4F792D47" w14:textId="77777777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445839DB" w14:textId="77777777" w:rsidR="00C516A8" w:rsidRPr="002E6A71" w:rsidRDefault="00C516A8" w:rsidP="002E6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04EDE" w14:textId="51B68EEB" w:rsidR="00C516A8" w:rsidRPr="002E6A71" w:rsidRDefault="00C516A8" w:rsidP="002E6A7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§ 1845a odst. 2 věta první</w:t>
      </w:r>
    </w:p>
    <w:p w14:paraId="11CE58FE" w14:textId="509F7886" w:rsidR="00C516A8" w:rsidRPr="002E6A71" w:rsidRDefault="002E6A71" w:rsidP="00C516A8">
      <w:pPr>
        <w:pStyle w:val="Odstavecseseznamem"/>
        <w:spacing w:before="120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S</w:t>
      </w:r>
      <w:r w:rsidR="00C516A8" w:rsidRPr="002E6A71">
        <w:rPr>
          <w:rFonts w:cstheme="minorHAnsi"/>
        </w:rPr>
        <w:t xml:space="preserve"> ohledem na výše uvedené máme za to (a prosíme o potvrzení tohoto vnímání), že ohledně poskytnutí předsmluvních informací by pro penzijní společnosti mělo platit pouze </w:t>
      </w:r>
      <w:proofErr w:type="spellStart"/>
      <w:r w:rsidR="00C516A8" w:rsidRPr="002E6A71">
        <w:rPr>
          <w:rFonts w:cstheme="minorHAnsi"/>
        </w:rPr>
        <w:t>ust</w:t>
      </w:r>
      <w:proofErr w:type="spellEnd"/>
      <w:r w:rsidR="00C516A8" w:rsidRPr="002E6A71">
        <w:rPr>
          <w:rFonts w:cstheme="minorHAnsi"/>
        </w:rPr>
        <w:t>. § 1843 odst. 1 písm. q) NOZ (poskytnutí informace o právu na odstoupení). Význam pojmu „</w:t>
      </w:r>
      <w:r w:rsidR="00C516A8" w:rsidRPr="002E6A71">
        <w:rPr>
          <w:rFonts w:cstheme="minorHAnsi"/>
          <w:i/>
          <w:iCs/>
        </w:rPr>
        <w:t>pravidla pro jejich sdělení</w:t>
      </w:r>
      <w:r w:rsidR="00C516A8" w:rsidRPr="002E6A71">
        <w:rPr>
          <w:rFonts w:cstheme="minorHAnsi"/>
        </w:rPr>
        <w:t xml:space="preserve">“ však není jednoznačný. </w:t>
      </w:r>
    </w:p>
    <w:p w14:paraId="3438C08C" w14:textId="77777777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Požadujeme proto doplnění a zpřesnění textu takto „… stanoví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rozsah údajů před uzavřením smlouvy a pravidla pro jejich sdělení</w:t>
      </w:r>
      <w:r w:rsidRPr="002E6A71">
        <w:rPr>
          <w:rFonts w:asciiTheme="minorHAnsi" w:hAnsiTheme="minorHAnsi" w:cstheme="minorHAnsi"/>
          <w:sz w:val="22"/>
          <w:szCs w:val="22"/>
        </w:rPr>
        <w:t xml:space="preserve">…“. </w:t>
      </w:r>
    </w:p>
    <w:p w14:paraId="7D8D67AF" w14:textId="77777777" w:rsid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  <w:u w:val="single"/>
        </w:rPr>
        <w:lastRenderedPageBreak/>
        <w:t>Odůvodnění:</w:t>
      </w:r>
      <w:r w:rsidRPr="002E6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86B151" w14:textId="77777777" w:rsid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Důvodová zpráva k tomuto ustanovení uvádí, že pokud zvláštní zákon nebo přímo použitelný předpis EU (nařízení) upravuje poskytnutí předsmluvních informací, obecná úprava občanského zákoníku se vůbec nepoužije a aplikuje se pouze příslušná zvláštní úprava. </w:t>
      </w:r>
    </w:p>
    <w:p w14:paraId="003F7E26" w14:textId="34CFA8AC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Z textu důvodové zprávy dovozujeme, že přednostní úprava se vztahuje nejen na způsob předání předsmluvních informací, ale i na jejich rozsah. Z doslovného znění zákona to však neplyne, když význam slov „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>pravidla pro jejich sdělení</w:t>
      </w:r>
      <w:r w:rsidRPr="002E6A71">
        <w:rPr>
          <w:rFonts w:asciiTheme="minorHAnsi" w:hAnsiTheme="minorHAnsi" w:cstheme="minorHAnsi"/>
          <w:sz w:val="22"/>
          <w:szCs w:val="22"/>
        </w:rPr>
        <w:t xml:space="preserve">“ není jednoznačný. </w:t>
      </w:r>
    </w:p>
    <w:p w14:paraId="1ED72FA1" w14:textId="534D3A4E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Nad rámec připomínky prosíme ještě o potvrzení, zda vykládáme správně, že na smlouvy o doplňkovém penzijním spoření se neaplikuje ani § 1843 odst. 3, tedy povinnost připomenout spotřebiteli (účastníkovi), že může od smlouvy odstoupit a jakým způsobem tak má učinit. Případné porušení je totiž sankcionováno jako přestupek.</w:t>
      </w:r>
    </w:p>
    <w:p w14:paraId="497DF58E" w14:textId="77777777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zásadní</w:t>
      </w:r>
    </w:p>
    <w:p w14:paraId="404AF354" w14:textId="77777777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E457C12" w14:textId="77777777" w:rsidR="002E6A71" w:rsidRDefault="00C516A8" w:rsidP="002E6A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§ 1845, odst. 2) </w:t>
      </w:r>
    </w:p>
    <w:p w14:paraId="1665BC74" w14:textId="3F77B41C" w:rsidR="00C516A8" w:rsidRPr="002E6A71" w:rsidRDefault="00C516A8" w:rsidP="002E6A7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A71">
        <w:rPr>
          <w:rFonts w:asciiTheme="minorHAnsi" w:hAnsiTheme="minorHAnsi" w:cstheme="minorHAnsi"/>
          <w:bCs/>
          <w:sz w:val="22"/>
          <w:szCs w:val="22"/>
        </w:rPr>
        <w:t>Navrhujeme definovat, co je myšleno</w:t>
      </w:r>
      <w:r w:rsidRPr="002E6A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6A71">
        <w:rPr>
          <w:rFonts w:asciiTheme="minorHAnsi" w:hAnsiTheme="minorHAnsi" w:cstheme="minorHAnsi"/>
          <w:bCs/>
          <w:sz w:val="22"/>
          <w:szCs w:val="22"/>
        </w:rPr>
        <w:t>on-line nástrojem</w:t>
      </w:r>
      <w:r w:rsidRPr="002E6A7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E6A71">
        <w:rPr>
          <w:rFonts w:asciiTheme="minorHAnsi" w:hAnsiTheme="minorHAnsi" w:cstheme="minorHAnsi"/>
          <w:bCs/>
          <w:sz w:val="22"/>
          <w:szCs w:val="22"/>
        </w:rPr>
        <w:t xml:space="preserve">resp. že se musí jednat o plně automatizované nástroje (DZ hovoří o jen o chatbotech, </w:t>
      </w:r>
      <w:proofErr w:type="spellStart"/>
      <w:r w:rsidRPr="002E6A71">
        <w:rPr>
          <w:rFonts w:asciiTheme="minorHAnsi" w:hAnsiTheme="minorHAnsi" w:cstheme="minorHAnsi"/>
          <w:bCs/>
          <w:sz w:val="22"/>
          <w:szCs w:val="22"/>
        </w:rPr>
        <w:t>robonástroji</w:t>
      </w:r>
      <w:proofErr w:type="spellEnd"/>
      <w:r w:rsidRPr="002E6A71">
        <w:rPr>
          <w:rFonts w:asciiTheme="minorHAnsi" w:hAnsiTheme="minorHAnsi" w:cstheme="minorHAnsi"/>
          <w:bCs/>
          <w:sz w:val="22"/>
          <w:szCs w:val="22"/>
        </w:rPr>
        <w:t xml:space="preserve">.) </w:t>
      </w:r>
    </w:p>
    <w:p w14:paraId="57FB66EF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2A8D2E3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proofErr w:type="spellStart"/>
      <w:r w:rsidRPr="002E6A71">
        <w:rPr>
          <w:rFonts w:asciiTheme="minorHAnsi" w:hAnsiTheme="minorHAnsi" w:cstheme="minorHAnsi"/>
          <w:bCs/>
          <w:i/>
          <w:iCs/>
          <w:sz w:val="22"/>
          <w:szCs w:val="22"/>
        </w:rPr>
        <w:t>Viz.Čl</w:t>
      </w:r>
      <w:proofErr w:type="spellEnd"/>
      <w:r w:rsidRPr="002E6A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40 preambule směrnice: Povinnost poskytnout náležité vysvětlení je obzvláště důležitá v případě, že spotřebitelé mají v úmyslu uzavřít smlouvu o finanční službě na dálku a obchodník poskytuje vysvětlení prostřednictvím plně automatizovaných online nástrojů, jako jsou například chatboti, </w:t>
      </w:r>
      <w:proofErr w:type="spellStart"/>
      <w:r w:rsidRPr="002E6A71">
        <w:rPr>
          <w:rFonts w:asciiTheme="minorHAnsi" w:hAnsiTheme="minorHAnsi" w:cstheme="minorHAnsi"/>
          <w:bCs/>
          <w:i/>
          <w:iCs/>
          <w:sz w:val="22"/>
          <w:szCs w:val="22"/>
        </w:rPr>
        <w:t>roboporadenství</w:t>
      </w:r>
      <w:proofErr w:type="spellEnd"/>
      <w:r w:rsidRPr="002E6A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interaktivní nástroje nebo podobné nástroje. Aby bylo zajištěno, že spotřebitel porozumí dopadům, které může mít smlouva na jeho ekonomickou situaci, měl by mít vždy možnost využít v předsmluvní fázi během provozní doby obchodníka bezplatného lidského zásahu člověka zastupujícího obchodníka. Spotřebitel by měl mít rovněž právo v odůvodněných případech a bez nepřiměřené zátěže pro obchodníka požádat o lidský zásah po uzavření smlouvy na dálku. To by mohlo zahrnovat právo na takový lidský zásah při obnovování smlouvy, v případě závažných obtíží pro spotřebitele nebo v případě, že je zapotřebí dalšího vysvětlení smluvních podmínek. </w:t>
      </w:r>
    </w:p>
    <w:p w14:paraId="01AF362B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BDD215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A71">
        <w:rPr>
          <w:rFonts w:asciiTheme="minorHAnsi" w:hAnsiTheme="minorHAnsi" w:cstheme="minorHAnsi"/>
          <w:bCs/>
          <w:sz w:val="22"/>
          <w:szCs w:val="22"/>
        </w:rPr>
        <w:t>Dále navrhujeme opětovně zavést méně přísný režim pro vklady a účty a určitý druh finančních služeb, které nemají složitý charakter, tak jak to směrnice členským státům umožňuje v odst. 2:</w:t>
      </w:r>
    </w:p>
    <w:p w14:paraId="42314DE4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E6A71">
        <w:rPr>
          <w:rFonts w:asciiTheme="minorHAnsi" w:hAnsiTheme="minorHAnsi" w:cstheme="minorHAnsi"/>
          <w:bCs/>
          <w:i/>
          <w:iCs/>
          <w:sz w:val="22"/>
          <w:szCs w:val="22"/>
        </w:rPr>
        <w:t>„Členské státy mohou stanovit způsob a rozsah, v jakém je vysvětlení podle odstavce 1 poskytováno. Členské státy mohou způsob a rozsah poskytování vysvětlení přizpůsobit konkrétním okolnostem souvisejícím se situací, ve které je finanční služba nabízena, komu je nabízena a jaký druh finanční služby je nabízen.“</w:t>
      </w:r>
    </w:p>
    <w:p w14:paraId="7AB5BFF0" w14:textId="77777777" w:rsidR="002E6A71" w:rsidRPr="002E6A71" w:rsidRDefault="002E6A71" w:rsidP="002E6A71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zásadní</w:t>
      </w:r>
    </w:p>
    <w:p w14:paraId="788601A3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7F9B3F0" w14:textId="034C0399" w:rsidR="00C516A8" w:rsidRPr="002E6A71" w:rsidRDefault="00C516A8" w:rsidP="002E6A7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§ 1845a odst. 3</w:t>
      </w:r>
    </w:p>
    <w:p w14:paraId="5178E36A" w14:textId="6460F0E2" w:rsidR="00C516A8" w:rsidRPr="002E6A71" w:rsidRDefault="002E6A71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Navrhujeme</w:t>
      </w:r>
      <w:r w:rsidR="00C516A8" w:rsidRPr="002E6A71">
        <w:rPr>
          <w:rFonts w:asciiTheme="minorHAnsi" w:hAnsiTheme="minorHAnsi" w:cstheme="minorHAnsi"/>
          <w:sz w:val="22"/>
          <w:szCs w:val="22"/>
        </w:rPr>
        <w:t xml:space="preserve"> doplnění textu takto „…vysvětlení </w:t>
      </w:r>
      <w:r w:rsidR="00C516A8"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nebo obdobná pravidla pro jednání se </w:t>
      </w:r>
      <w:proofErr w:type="gramStart"/>
      <w:r w:rsidR="00C516A8" w:rsidRPr="002E6A71">
        <w:rPr>
          <w:rFonts w:asciiTheme="minorHAnsi" w:hAnsiTheme="minorHAnsi" w:cstheme="minorHAnsi"/>
          <w:b/>
          <w:bCs/>
          <w:sz w:val="22"/>
          <w:szCs w:val="22"/>
        </w:rPr>
        <w:t>zákazníkem</w:t>
      </w:r>
      <w:r w:rsidR="00C516A8" w:rsidRPr="002E6A71">
        <w:rPr>
          <w:rFonts w:asciiTheme="minorHAnsi" w:hAnsiTheme="minorHAnsi" w:cstheme="minorHAnsi"/>
          <w:sz w:val="22"/>
          <w:szCs w:val="22"/>
        </w:rPr>
        <w:t>,…</w:t>
      </w:r>
      <w:proofErr w:type="gramEnd"/>
      <w:r w:rsidR="00C516A8" w:rsidRPr="002E6A71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5CBC6D6B" w14:textId="77777777" w:rsid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  <w:u w:val="single"/>
        </w:rPr>
        <w:t>Odůvodnění</w:t>
      </w:r>
      <w:r w:rsidRPr="002E6A7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B9428F" w14:textId="73887575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Důvodová zpráva k tomuto ustanovení uvádí, že se uplatní přednost zvláštních úprav obsažených v sektorových předpisech (důvodová zpráva výslovně neuvádí DPS, ale zároveň výčet produktů uvádí pojmem „zejména“, tedy máme za to, že se uplatní přednost zákona o doplňkovém penzijním spoření, byť to z důvodové zprávy výslovně nevyplývá). Nicméně, zákon č. 427/2011 Sb., o doplňkovém penzijním spoření, stanoví pravidla pro jednání se zákazníky a obsah předsmluvních informací, nicméně s pojmem „vysvětlení“ jako takovým nepracuje. </w:t>
      </w:r>
    </w:p>
    <w:p w14:paraId="4F3B34C0" w14:textId="77777777" w:rsidR="00C516A8" w:rsidRPr="002E6A71" w:rsidRDefault="00C516A8" w:rsidP="00C516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Nad rámec připomínky prosíme ještě o potvrzení, zda vykládáme správně, že se na smlouvy o doplňkovém penzijním spoření </w:t>
      </w:r>
      <w:r w:rsidRPr="004A751F">
        <w:rPr>
          <w:rFonts w:asciiTheme="minorHAnsi" w:hAnsiTheme="minorHAnsi" w:cstheme="minorHAnsi"/>
          <w:sz w:val="22"/>
          <w:szCs w:val="22"/>
        </w:rPr>
        <w:t>neaplikuje</w:t>
      </w:r>
      <w:r w:rsidRPr="002E6A71">
        <w:rPr>
          <w:rFonts w:asciiTheme="minorHAnsi" w:hAnsiTheme="minorHAnsi" w:cstheme="minorHAnsi"/>
          <w:sz w:val="22"/>
          <w:szCs w:val="22"/>
        </w:rPr>
        <w:t xml:space="preserve"> ani § 1845 odst. 2, tedy právo na vysvětlení člověkem.</w:t>
      </w:r>
    </w:p>
    <w:p w14:paraId="550F0D01" w14:textId="77777777" w:rsidR="004A751F" w:rsidRPr="002E6A71" w:rsidRDefault="004A751F" w:rsidP="004A751F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lastRenderedPageBreak/>
        <w:t>Tato připomínka je zásadní</w:t>
      </w:r>
    </w:p>
    <w:p w14:paraId="215AD144" w14:textId="77777777" w:rsidR="00C516A8" w:rsidRPr="002E6A71" w:rsidRDefault="00C516A8" w:rsidP="00C516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9462FB" w14:textId="77777777" w:rsidR="004A751F" w:rsidRPr="004A751F" w:rsidRDefault="00C516A8" w:rsidP="004A751F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§ 1845a </w:t>
      </w:r>
    </w:p>
    <w:p w14:paraId="341AE868" w14:textId="3AA106F3" w:rsidR="00C516A8" w:rsidRPr="002E6A71" w:rsidRDefault="00C516A8" w:rsidP="004A751F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Navrhujeme zpřesnění (alespoň na úrovni DZ), že v případě pravidel, která jsou součástí zvláštní úpravy, avšak pro některé finanční služby podléhající této zvláštní úpravě právo na odstoupení neumožňují (výslovně např. SÚ na bydlení), rovněž platí nepoužití obecné úpravy v NOZ + i ve vztahu k písm. q) </w:t>
      </w:r>
    </w:p>
    <w:p w14:paraId="5774BE83" w14:textId="77777777" w:rsidR="004A751F" w:rsidRPr="002E6A71" w:rsidRDefault="004A751F" w:rsidP="004A751F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0752BB4C" w14:textId="77777777" w:rsidR="00C516A8" w:rsidRPr="004A751F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5D391" w14:textId="77777777" w:rsidR="004A751F" w:rsidRDefault="00C516A8" w:rsidP="004A75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§ 1846, </w:t>
      </w:r>
      <w:proofErr w:type="spellStart"/>
      <w:r w:rsidRPr="002E6A71">
        <w:rPr>
          <w:rFonts w:asciiTheme="minorHAnsi" w:hAnsiTheme="minorHAnsi" w:cstheme="minorHAnsi"/>
          <w:b/>
          <w:bCs/>
          <w:sz w:val="22"/>
          <w:szCs w:val="22"/>
        </w:rPr>
        <w:t>odst</w:t>
      </w:r>
      <w:proofErr w:type="spellEnd"/>
      <w:r w:rsidRPr="002E6A71">
        <w:rPr>
          <w:rFonts w:asciiTheme="minorHAnsi" w:hAnsiTheme="minorHAnsi" w:cstheme="minorHAnsi"/>
          <w:b/>
          <w:bCs/>
          <w:sz w:val="22"/>
          <w:szCs w:val="22"/>
        </w:rPr>
        <w:t xml:space="preserve"> 1) </w:t>
      </w:r>
    </w:p>
    <w:p w14:paraId="0BE7FA1A" w14:textId="36B226D6" w:rsidR="00C516A8" w:rsidRPr="002E6A71" w:rsidRDefault="00C516A8" w:rsidP="004A751F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Vznášíme dotaz, co je myšleno smluvními podmínkami, když v navrhovaném znění není nikde povinnost sdělovat před uzavřením smlouvy zvlášť smluvní podmínky. </w:t>
      </w:r>
    </w:p>
    <w:p w14:paraId="5D72605B" w14:textId="77777777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Navrhujeme vypustit penzijní připojištění, když tento produkt se již 13 let neposkytuje.</w:t>
      </w:r>
    </w:p>
    <w:p w14:paraId="07E763A5" w14:textId="77777777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Navrhujeme upravit odstavec 1 tak, aby byla nejdříve stanovena délka lhůty pro odstoupení obecně. Následně pak upraven počátek běhu lhůty, který tak bude dopadat na všechny „finanční služby“.</w:t>
      </w:r>
    </w:p>
    <w:p w14:paraId="52E66996" w14:textId="77777777" w:rsidR="00C516A8" w:rsidRPr="002E6A71" w:rsidRDefault="00C516A8" w:rsidP="00C516A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i/>
          <w:iCs/>
          <w:sz w:val="22"/>
          <w:szCs w:val="22"/>
        </w:rPr>
        <w:t>Navrhované znění:</w:t>
      </w:r>
    </w:p>
    <w:p w14:paraId="6C6D859E" w14:textId="754791B0" w:rsidR="00C516A8" w:rsidRPr="002E6A71" w:rsidRDefault="00C516A8" w:rsidP="00C516A8">
      <w:pPr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Spotřebitel má právo odstoupit od smlouvy ve lhůtě čtrnácti dnů, u smlouvy o penzijním doplňkovém spoření se tato lhůta prodlužuje na 30 dnů. Lhůta pro odstoupení počíná běžet ode dne uzavření smlouvy; pokud spotřebiteli byly údaje podle § 1843 až 1845 </w:t>
      </w:r>
      <w:proofErr w:type="gramStart"/>
      <w:r w:rsidRPr="002E6A71">
        <w:rPr>
          <w:rFonts w:asciiTheme="minorHAnsi" w:hAnsiTheme="minorHAnsi" w:cstheme="minorHAnsi"/>
          <w:b/>
          <w:bCs/>
          <w:sz w:val="22"/>
          <w:szCs w:val="22"/>
        </w:rPr>
        <w:t>1844a</w:t>
      </w:r>
      <w:proofErr w:type="gramEnd"/>
      <w:r w:rsidRPr="002E6A71">
        <w:rPr>
          <w:rFonts w:asciiTheme="minorHAnsi" w:hAnsiTheme="minorHAnsi" w:cstheme="minorHAnsi"/>
          <w:sz w:val="22"/>
          <w:szCs w:val="22"/>
        </w:rPr>
        <w:t xml:space="preserve"> </w:t>
      </w:r>
      <w:r w:rsidRPr="002E6A71">
        <w:rPr>
          <w:rFonts w:asciiTheme="minorHAnsi" w:hAnsiTheme="minorHAnsi" w:cstheme="minorHAnsi"/>
          <w:b/>
          <w:bCs/>
          <w:sz w:val="22"/>
          <w:szCs w:val="22"/>
        </w:rPr>
        <w:t>a smluvní podmínky</w:t>
      </w:r>
      <w:r w:rsidRPr="002E6A71">
        <w:rPr>
          <w:rFonts w:asciiTheme="minorHAnsi" w:hAnsiTheme="minorHAnsi" w:cstheme="minorHAnsi"/>
          <w:sz w:val="22"/>
          <w:szCs w:val="22"/>
        </w:rPr>
        <w:t xml:space="preserve"> sděleny až po uzavření smlouvy, pak lhůta pro odstoupení počíná běžet ode dne jejich sdělení.</w:t>
      </w:r>
      <w:r w:rsidR="004A75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ABEE57" w14:textId="77777777" w:rsidR="00C516A8" w:rsidRPr="002E6A71" w:rsidRDefault="00C516A8" w:rsidP="00C516A8">
      <w:pPr>
        <w:ind w:firstLine="708"/>
        <w:jc w:val="both"/>
        <w:rPr>
          <w:rFonts w:asciiTheme="minorHAnsi" w:eastAsia="Aptos" w:hAnsiTheme="minorHAnsi" w:cstheme="minorHAnsi"/>
          <w:sz w:val="22"/>
          <w:szCs w:val="22"/>
          <w:u w:val="single"/>
          <w:lang w:eastAsia="zh-CN"/>
        </w:rPr>
      </w:pPr>
    </w:p>
    <w:p w14:paraId="1EE367D5" w14:textId="08C67EF9" w:rsidR="00C516A8" w:rsidRDefault="00C516A8" w:rsidP="00C516A8">
      <w:pPr>
        <w:jc w:val="both"/>
        <w:rPr>
          <w:rFonts w:asciiTheme="minorHAnsi" w:eastAsia="Aptos" w:hAnsiTheme="minorHAnsi" w:cstheme="minorHAnsi"/>
          <w:sz w:val="22"/>
          <w:szCs w:val="22"/>
          <w:lang w:eastAsia="en-US"/>
        </w:rPr>
      </w:pPr>
      <w:r w:rsidRPr="002E6A71">
        <w:rPr>
          <w:rFonts w:asciiTheme="minorHAnsi" w:eastAsia="Aptos" w:hAnsiTheme="minorHAnsi" w:cstheme="minorHAnsi"/>
          <w:sz w:val="22"/>
          <w:szCs w:val="22"/>
          <w:lang w:eastAsia="zh-CN"/>
        </w:rPr>
        <w:t xml:space="preserve">Jelikož </w:t>
      </w:r>
      <w:r w:rsidRPr="002E6A71">
        <w:rPr>
          <w:rFonts w:asciiTheme="minorHAnsi" w:eastAsia="Aptos" w:hAnsiTheme="minorHAnsi" w:cstheme="minorHAnsi"/>
          <w:b/>
          <w:bCs/>
          <w:sz w:val="22"/>
          <w:szCs w:val="22"/>
          <w:lang w:eastAsia="zh-CN"/>
        </w:rPr>
        <w:t>§ 1847</w:t>
      </w:r>
      <w:r w:rsidRPr="002E6A71">
        <w:rPr>
          <w:rFonts w:asciiTheme="minorHAnsi" w:eastAsia="Aptos" w:hAnsiTheme="minorHAnsi" w:cstheme="minorHAnsi"/>
          <w:sz w:val="22"/>
          <w:szCs w:val="22"/>
          <w:lang w:eastAsia="zh-CN"/>
        </w:rPr>
        <w:t xml:space="preserve"> </w:t>
      </w:r>
      <w:r w:rsidR="004A751F">
        <w:rPr>
          <w:rFonts w:asciiTheme="minorHAnsi" w:eastAsia="Aptos" w:hAnsiTheme="minorHAnsi" w:cstheme="minorHAnsi"/>
          <w:sz w:val="22"/>
          <w:szCs w:val="22"/>
          <w:lang w:eastAsia="zh-CN"/>
        </w:rPr>
        <w:t>stanovuje</w:t>
      </w:r>
      <w:r w:rsidRPr="002E6A71">
        <w:rPr>
          <w:rFonts w:asciiTheme="minorHAnsi" w:eastAsia="Aptos" w:hAnsiTheme="minorHAnsi" w:cstheme="minorHAnsi"/>
          <w:sz w:val="22"/>
          <w:szCs w:val="22"/>
          <w:lang w:eastAsia="zh-CN"/>
        </w:rPr>
        <w:t>, že: „</w:t>
      </w:r>
      <w:r w:rsidRPr="002E6A71">
        <w:rPr>
          <w:rFonts w:asciiTheme="minorHAnsi" w:eastAsia="Aptos" w:hAnsiTheme="minorHAnsi" w:cstheme="minorHAnsi"/>
          <w:i/>
          <w:iCs/>
          <w:sz w:val="22"/>
          <w:szCs w:val="22"/>
          <w:lang w:eastAsia="zh-CN"/>
        </w:rPr>
        <w:t xml:space="preserve">Ustanovení § 1846 se nepoužije, v případě že a) cena finančních služeb závisí na pohybech cen na finančních trzích, které podnikatel nemůže ovlivnit, jako jsou služby k devizovým hodnotám a investičním nástrojům, …“, </w:t>
      </w:r>
      <w:r w:rsidRPr="002E6A71">
        <w:rPr>
          <w:rFonts w:asciiTheme="minorHAnsi" w:eastAsia="Aptos" w:hAnsiTheme="minorHAnsi" w:cstheme="minorHAnsi"/>
          <w:sz w:val="22"/>
          <w:szCs w:val="22"/>
          <w:lang w:eastAsia="zh-CN"/>
        </w:rPr>
        <w:t xml:space="preserve">zdá se logické, že </w:t>
      </w:r>
      <w:r w:rsidRPr="002E6A71">
        <w:rPr>
          <w:rFonts w:asciiTheme="minorHAnsi" w:eastAsia="Aptos" w:hAnsiTheme="minorHAnsi" w:cstheme="minorHAnsi"/>
          <w:sz w:val="22"/>
          <w:szCs w:val="22"/>
          <w:lang w:eastAsia="en-US"/>
        </w:rPr>
        <w:t>není možné od smlouvy odstoupit, pokud se již začne s plněním, tedy prostředky se zainvestují.</w:t>
      </w:r>
    </w:p>
    <w:p w14:paraId="61D10790" w14:textId="77777777" w:rsidR="004A751F" w:rsidRPr="002E6A71" w:rsidRDefault="004A751F" w:rsidP="004A751F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2ED2A357" w14:textId="77777777" w:rsidR="004A751F" w:rsidRPr="002E6A71" w:rsidRDefault="004A751F" w:rsidP="00C516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C8F45" w14:textId="77777777" w:rsidR="004A751F" w:rsidRPr="004A751F" w:rsidRDefault="00C516A8" w:rsidP="004A7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</w:t>
      </w:r>
      <w:r w:rsidRPr="004A751F">
        <w:rPr>
          <w:rFonts w:asciiTheme="minorHAnsi" w:hAnsiTheme="minorHAnsi" w:cstheme="minorHAnsi"/>
          <w:b/>
          <w:sz w:val="22"/>
          <w:szCs w:val="22"/>
        </w:rPr>
        <w:t xml:space="preserve">§ 1847, </w:t>
      </w:r>
      <w:proofErr w:type="spellStart"/>
      <w:r w:rsidRPr="004A751F">
        <w:rPr>
          <w:rFonts w:asciiTheme="minorHAnsi" w:hAnsiTheme="minorHAnsi" w:cstheme="minorHAnsi"/>
          <w:b/>
          <w:sz w:val="22"/>
          <w:szCs w:val="22"/>
        </w:rPr>
        <w:t>odst</w:t>
      </w:r>
      <w:proofErr w:type="spellEnd"/>
      <w:r w:rsidRPr="004A751F">
        <w:rPr>
          <w:rFonts w:asciiTheme="minorHAnsi" w:hAnsiTheme="minorHAnsi" w:cstheme="minorHAnsi"/>
          <w:b/>
          <w:sz w:val="22"/>
          <w:szCs w:val="22"/>
        </w:rPr>
        <w:t xml:space="preserve"> d) </w:t>
      </w:r>
    </w:p>
    <w:p w14:paraId="15132342" w14:textId="4192B668" w:rsidR="00C516A8" w:rsidRPr="002E6A71" w:rsidRDefault="00C516A8" w:rsidP="004A751F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Navrhujeme doplnění s ohledem na znění Směrnice čl. </w:t>
      </w:r>
      <w:proofErr w:type="gramStart"/>
      <w:r w:rsidRPr="002E6A71">
        <w:rPr>
          <w:rFonts w:asciiTheme="minorHAnsi" w:hAnsiTheme="minorHAnsi" w:cstheme="minorHAnsi"/>
          <w:sz w:val="22"/>
          <w:szCs w:val="22"/>
        </w:rPr>
        <w:t>16b</w:t>
      </w:r>
      <w:proofErr w:type="gramEnd"/>
      <w:r w:rsidRPr="002E6A71">
        <w:rPr>
          <w:rFonts w:asciiTheme="minorHAnsi" w:hAnsiTheme="minorHAnsi" w:cstheme="minorHAnsi"/>
          <w:sz w:val="22"/>
          <w:szCs w:val="22"/>
        </w:rPr>
        <w:t xml:space="preserve"> odst. 6:</w:t>
      </w:r>
    </w:p>
    <w:p w14:paraId="5A74FA19" w14:textId="77777777" w:rsidR="004A751F" w:rsidRPr="004A751F" w:rsidRDefault="00C516A8" w:rsidP="00C516A8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2E6A71">
        <w:rPr>
          <w:rFonts w:asciiTheme="minorHAnsi" w:hAnsiTheme="minorHAnsi" w:cstheme="minorHAnsi"/>
          <w:i/>
          <w:iCs/>
          <w:sz w:val="22"/>
          <w:szCs w:val="22"/>
        </w:rPr>
        <w:t>Pokud jiný akt Unie up</w:t>
      </w:r>
      <w:r w:rsidRPr="002E6A7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ravující konkrétní finanční služby obsahuje pravidla týkající se práva na </w:t>
      </w:r>
      <w:r w:rsidRPr="004A751F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odstoupení od smlouvy, použijí se na tyto konkrétní finanční služby pouze pravidla pro uplatnění práva na odstoupení od smlouvy uvedená v daném aktu Unie, není-li v daném aktu stanoveno jinak. </w:t>
      </w:r>
    </w:p>
    <w:p w14:paraId="1A3C5C64" w14:textId="45654E2D" w:rsidR="00C516A8" w:rsidRPr="004A751F" w:rsidRDefault="00C516A8" w:rsidP="004A751F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751F">
        <w:rPr>
          <w:rFonts w:asciiTheme="minorHAnsi" w:hAnsiTheme="minorHAnsi" w:cstheme="minorHAnsi"/>
          <w:i/>
          <w:iCs/>
          <w:sz w:val="22"/>
          <w:szCs w:val="22"/>
        </w:rPr>
        <w:t xml:space="preserve">Pokud daný jiný akt Unie dává členským státům právo zvolit si mezi právem na odstoupení od smlouvy a alternativním řešením, jako je doba na rozmyšlenou, použijí se na tyto konkrétní finanční služby pouze příslušná pravidla daného aktu Unie, není-li v daném aktu stanoveno jinak. </w:t>
      </w:r>
    </w:p>
    <w:p w14:paraId="18B131C3" w14:textId="77777777" w:rsidR="00C516A8" w:rsidRDefault="00C516A8" w:rsidP="00C516A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Navrhovaný text: </w:t>
      </w:r>
      <w:r w:rsidRPr="002E6A71">
        <w:rPr>
          <w:rFonts w:asciiTheme="minorHAnsi" w:hAnsiTheme="minorHAnsi" w:cstheme="minorHAnsi"/>
          <w:b/>
          <w:sz w:val="22"/>
          <w:szCs w:val="22"/>
        </w:rPr>
        <w:t>d)</w:t>
      </w:r>
      <w:r w:rsidRPr="002E6A71">
        <w:rPr>
          <w:rFonts w:asciiTheme="minorHAnsi" w:hAnsiTheme="minorHAnsi" w:cstheme="minorHAnsi"/>
          <w:b/>
          <w:sz w:val="22"/>
          <w:szCs w:val="22"/>
        </w:rPr>
        <w:tab/>
      </w:r>
      <w:r w:rsidRPr="004A751F">
        <w:rPr>
          <w:rFonts w:asciiTheme="minorHAnsi" w:hAnsiTheme="minorHAnsi" w:cstheme="minorHAnsi"/>
          <w:bCs/>
          <w:sz w:val="22"/>
          <w:szCs w:val="22"/>
        </w:rPr>
        <w:t>jiný právní předpis nebo přímo použitelný předpis Evropské unie upravující finanční služby stanoví právo na odstoupení od smlouvy o této finanční službě</w:t>
      </w:r>
      <w:r w:rsidRPr="002E6A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751F">
        <w:rPr>
          <w:rFonts w:asciiTheme="minorHAnsi" w:hAnsiTheme="minorHAnsi" w:cstheme="minorHAnsi"/>
          <w:b/>
          <w:sz w:val="22"/>
          <w:szCs w:val="22"/>
        </w:rPr>
        <w:t>nebo dobu na rozmyšlenou</w:t>
      </w:r>
      <w:r w:rsidRPr="002E6A71">
        <w:rPr>
          <w:rFonts w:asciiTheme="minorHAnsi" w:hAnsiTheme="minorHAnsi" w:cstheme="minorHAnsi"/>
          <w:b/>
          <w:sz w:val="22"/>
          <w:szCs w:val="22"/>
        </w:rPr>
        <w:t>.</w:t>
      </w:r>
      <w:r w:rsidRPr="002E6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E0D975" w14:textId="77777777" w:rsidR="004A751F" w:rsidRPr="002E6A71" w:rsidRDefault="004A751F" w:rsidP="004A751F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doporučující</w:t>
      </w:r>
    </w:p>
    <w:p w14:paraId="5A897F2D" w14:textId="77777777" w:rsidR="004A751F" w:rsidRPr="002E6A71" w:rsidRDefault="004A751F" w:rsidP="004A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D1ECB" w14:textId="77777777" w:rsidR="004A751F" w:rsidRDefault="00C516A8" w:rsidP="004A7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b/>
          <w:sz w:val="22"/>
          <w:szCs w:val="22"/>
        </w:rPr>
        <w:t xml:space="preserve">Ke změně občanského zákoníku, k § 1848, odst. 1 </w:t>
      </w:r>
    </w:p>
    <w:p w14:paraId="60CEB99D" w14:textId="6D3E5844" w:rsidR="00C516A8" w:rsidRPr="002E6A71" w:rsidRDefault="00C516A8" w:rsidP="004A7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 xml:space="preserve">Není vysvětleno, co je míněno „vedlejší smlouvou“. Navrhujeme uvést, že se jedná o smlouvu o související doplňkové službě. Z našeho pohledu by mohla být v konečném důsledku zde uváděná definice smlouvy vedlejší širší, než je související doplňková služba. Rovněž předsmluvní informace </w:t>
      </w:r>
      <w:r w:rsidRPr="002E6A71">
        <w:rPr>
          <w:rFonts w:asciiTheme="minorHAnsi" w:hAnsiTheme="minorHAnsi" w:cstheme="minorHAnsi"/>
          <w:sz w:val="22"/>
          <w:szCs w:val="22"/>
        </w:rPr>
        <w:lastRenderedPageBreak/>
        <w:t xml:space="preserve">hovoří pouze a obsahují informace o doplňkových službách (nikoliv o vedlejších smlouvách), tudíž bude jasné, jaké smlouvy odstoupením od smlouvy o finanční službě zaniknou. Sama směrnice hovoří o související doplňkové službě, rozšíření tedy této úpravy na smlouvy vedlejší je nežádoucí. </w:t>
      </w:r>
    </w:p>
    <w:p w14:paraId="75B3A994" w14:textId="77777777" w:rsidR="00C516A8" w:rsidRPr="002E6A71" w:rsidRDefault="00C516A8" w:rsidP="00C516A8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 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Směrnice </w:t>
      </w:r>
      <w:proofErr w:type="gramStart"/>
      <w:r w:rsidRPr="002E6A71">
        <w:rPr>
          <w:rFonts w:asciiTheme="minorHAnsi" w:hAnsiTheme="minorHAnsi" w:cstheme="minorHAnsi"/>
          <w:i/>
          <w:iCs/>
          <w:sz w:val="22"/>
          <w:szCs w:val="22"/>
        </w:rPr>
        <w:t>16b</w:t>
      </w:r>
      <w:proofErr w:type="gramEnd"/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 odst. 4:</w:t>
      </w:r>
    </w:p>
    <w:p w14:paraId="087D820A" w14:textId="77777777" w:rsidR="00C516A8" w:rsidRPr="002E6A71" w:rsidRDefault="00C516A8" w:rsidP="00C516A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i/>
          <w:iCs/>
          <w:sz w:val="22"/>
          <w:szCs w:val="22"/>
        </w:rPr>
        <w:t>Pokud obchodník nebo třetí stra</w:t>
      </w:r>
      <w:r w:rsidRPr="002E6A7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na na základě dohody mezi touto třetí stranou a obchodníkem poskytují </w:t>
      </w:r>
      <w:r w:rsidRPr="004A75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doplňkovou službu související se smlouvou o finanční službě uzavřenou na dálku</w:t>
      </w:r>
      <w:r w:rsidRPr="004A751F">
        <w:rPr>
          <w:rFonts w:asciiTheme="minorHAnsi" w:hAnsiTheme="minorHAnsi" w:cstheme="minorHAnsi"/>
          <w:i/>
          <w:iCs/>
          <w:sz w:val="22"/>
          <w:szCs w:val="22"/>
        </w:rPr>
        <w:t>, není spotřebitel</w:t>
      </w:r>
      <w:r w:rsidRPr="002E6A7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4A751F">
        <w:rPr>
          <w:rFonts w:asciiTheme="minorHAnsi" w:hAnsiTheme="minorHAnsi" w:cstheme="minorHAnsi"/>
          <w:i/>
          <w:iCs/>
          <w:sz w:val="22"/>
          <w:szCs w:val="22"/>
        </w:rPr>
        <w:t>smlouvou o doplňkové službě vázán, pokud uplatní své právo na odstoupení od smlouvy v souladu</w:t>
      </w:r>
      <w:r w:rsidRPr="002E6A7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s tímto článkem. Pokud se spotřebitel rozhodne ukončit smlouvu o doplňkové službě, neúčtuje se mu za to žádný poplatek.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1F26311" w14:textId="77777777" w:rsidR="00C516A8" w:rsidRPr="002E6A71" w:rsidRDefault="00C516A8" w:rsidP="00C516A8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Tomu odpovídá i § 118 odst. 5 ZSU:</w:t>
      </w:r>
    </w:p>
    <w:p w14:paraId="5ACF6E2C" w14:textId="77777777" w:rsidR="00C516A8" w:rsidRPr="002E6A71" w:rsidRDefault="00C516A8" w:rsidP="00C516A8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(5) Pokud poskytovatel nebo třetí osoba na základě smlouvy mezi třetí osobou a poskytovatelem poskytuje doplňkovou službu související se smlouvou o spotřebitelském úvěru, odstoupením od této smlouvy </w:t>
      </w:r>
      <w:r w:rsidRPr="004A75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zaniká i závazek ze smlouvy o doplňkové službě</w:t>
      </w:r>
      <w:r w:rsidRPr="002E6A71">
        <w:rPr>
          <w:rFonts w:asciiTheme="minorHAnsi" w:hAnsiTheme="minorHAnsi" w:cstheme="minorHAnsi"/>
          <w:i/>
          <w:iCs/>
          <w:sz w:val="22"/>
          <w:szCs w:val="22"/>
        </w:rPr>
        <w:t xml:space="preserve">. Poskytovatel je povinen bez zbytečného odkladu informovat třetí osobu o tom, kdy k odstoupení od smlouvy došlo. </w:t>
      </w:r>
    </w:p>
    <w:p w14:paraId="0C68E095" w14:textId="77777777" w:rsidR="004A751F" w:rsidRPr="002E6A71" w:rsidRDefault="004A751F" w:rsidP="004A751F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E6A71">
        <w:rPr>
          <w:rFonts w:asciiTheme="minorHAnsi" w:hAnsiTheme="minorHAnsi" w:cstheme="minorHAnsi"/>
          <w:sz w:val="22"/>
          <w:szCs w:val="22"/>
        </w:rPr>
        <w:t>Tato připomínka je zásadní</w:t>
      </w:r>
    </w:p>
    <w:p w14:paraId="52433BCE" w14:textId="77777777" w:rsidR="007674A4" w:rsidRPr="002E6A71" w:rsidRDefault="007674A4" w:rsidP="007674A4">
      <w:pPr>
        <w:shd w:val="clear" w:color="auto" w:fill="FFFFFF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B827A7B" w14:textId="6ABDB85B" w:rsidR="007674A4" w:rsidRPr="002E6A71" w:rsidRDefault="007674A4" w:rsidP="007674A4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E6A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Kontaktní osoba: Mgr. Jakub Machytka, e-mail: jakub.machytka@uzs.cz, tel.: 727 956 059</w:t>
      </w:r>
    </w:p>
    <w:sectPr w:rsidR="007674A4" w:rsidRPr="002E6A71" w:rsidSect="00FB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9C54" w14:textId="77777777" w:rsidR="005E1EFD" w:rsidRDefault="005E1EFD" w:rsidP="00064C09">
      <w:r>
        <w:separator/>
      </w:r>
    </w:p>
  </w:endnote>
  <w:endnote w:type="continuationSeparator" w:id="0">
    <w:p w14:paraId="7F35F6C5" w14:textId="77777777" w:rsidR="005E1EFD" w:rsidRDefault="005E1EFD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7F5E" w14:textId="77777777" w:rsidR="005E1EFD" w:rsidRDefault="005E1EFD" w:rsidP="00064C09">
      <w:r>
        <w:separator/>
      </w:r>
    </w:p>
  </w:footnote>
  <w:footnote w:type="continuationSeparator" w:id="0">
    <w:p w14:paraId="0EAC70FB" w14:textId="77777777" w:rsidR="005E1EFD" w:rsidRDefault="005E1EFD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EDB7" w14:textId="72AA40A6" w:rsidR="00231539" w:rsidRDefault="00000000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455896450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 w16cid:durableId="28073673">
    <w:abstractNumId w:val="0"/>
  </w:num>
  <w:num w:numId="2" w16cid:durableId="563876014">
    <w:abstractNumId w:val="2"/>
  </w:num>
  <w:num w:numId="3" w16cid:durableId="1613131407">
    <w:abstractNumId w:val="3"/>
  </w:num>
  <w:num w:numId="4" w16cid:durableId="7022441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23851"/>
    <w:rsid w:val="00030C7C"/>
    <w:rsid w:val="000317FE"/>
    <w:rsid w:val="00032E66"/>
    <w:rsid w:val="000340E5"/>
    <w:rsid w:val="000350D6"/>
    <w:rsid w:val="00052977"/>
    <w:rsid w:val="000535E1"/>
    <w:rsid w:val="0005450A"/>
    <w:rsid w:val="00054A6F"/>
    <w:rsid w:val="00057272"/>
    <w:rsid w:val="000609C9"/>
    <w:rsid w:val="00064C09"/>
    <w:rsid w:val="000663A0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1ADA"/>
    <w:rsid w:val="000A2191"/>
    <w:rsid w:val="000A4912"/>
    <w:rsid w:val="000B5C49"/>
    <w:rsid w:val="000B6923"/>
    <w:rsid w:val="000C2FC7"/>
    <w:rsid w:val="000C5141"/>
    <w:rsid w:val="000C7F09"/>
    <w:rsid w:val="000D01C2"/>
    <w:rsid w:val="000D0CCA"/>
    <w:rsid w:val="000D1375"/>
    <w:rsid w:val="000D1E48"/>
    <w:rsid w:val="000D46B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1DA3"/>
    <w:rsid w:val="0012526D"/>
    <w:rsid w:val="001255B5"/>
    <w:rsid w:val="001271B5"/>
    <w:rsid w:val="00130FD8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A64CC"/>
    <w:rsid w:val="001B2658"/>
    <w:rsid w:val="001B6B44"/>
    <w:rsid w:val="001C1CFE"/>
    <w:rsid w:val="001C3123"/>
    <w:rsid w:val="001C5ADC"/>
    <w:rsid w:val="001D0100"/>
    <w:rsid w:val="001D12DB"/>
    <w:rsid w:val="001D1D49"/>
    <w:rsid w:val="001D2738"/>
    <w:rsid w:val="001D3F71"/>
    <w:rsid w:val="001E1334"/>
    <w:rsid w:val="001E2B68"/>
    <w:rsid w:val="001E642D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1DD6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2D75"/>
    <w:rsid w:val="00233B19"/>
    <w:rsid w:val="002343D7"/>
    <w:rsid w:val="00234F7E"/>
    <w:rsid w:val="0023686C"/>
    <w:rsid w:val="002463F4"/>
    <w:rsid w:val="00254E73"/>
    <w:rsid w:val="002557AE"/>
    <w:rsid w:val="00261A84"/>
    <w:rsid w:val="00271880"/>
    <w:rsid w:val="00271AF4"/>
    <w:rsid w:val="00271E1A"/>
    <w:rsid w:val="00272B66"/>
    <w:rsid w:val="00276865"/>
    <w:rsid w:val="002800C1"/>
    <w:rsid w:val="002802D6"/>
    <w:rsid w:val="00281EC5"/>
    <w:rsid w:val="002842DA"/>
    <w:rsid w:val="00285255"/>
    <w:rsid w:val="00291A55"/>
    <w:rsid w:val="00291AAA"/>
    <w:rsid w:val="00296BED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A7C3E"/>
    <w:rsid w:val="002B2BD3"/>
    <w:rsid w:val="002B301A"/>
    <w:rsid w:val="002B4CE7"/>
    <w:rsid w:val="002B7B50"/>
    <w:rsid w:val="002C28D8"/>
    <w:rsid w:val="002C4575"/>
    <w:rsid w:val="002C4F5B"/>
    <w:rsid w:val="002C5E25"/>
    <w:rsid w:val="002D03AD"/>
    <w:rsid w:val="002D5688"/>
    <w:rsid w:val="002E0AF4"/>
    <w:rsid w:val="002E1324"/>
    <w:rsid w:val="002E491D"/>
    <w:rsid w:val="002E6A71"/>
    <w:rsid w:val="002E7A97"/>
    <w:rsid w:val="002E7AE8"/>
    <w:rsid w:val="002E7F35"/>
    <w:rsid w:val="002F1060"/>
    <w:rsid w:val="002F11A1"/>
    <w:rsid w:val="002F56DC"/>
    <w:rsid w:val="002F76F3"/>
    <w:rsid w:val="00303751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4373"/>
    <w:rsid w:val="00345613"/>
    <w:rsid w:val="00346938"/>
    <w:rsid w:val="00352AF3"/>
    <w:rsid w:val="00354D32"/>
    <w:rsid w:val="0035567A"/>
    <w:rsid w:val="00357F17"/>
    <w:rsid w:val="003618A3"/>
    <w:rsid w:val="00362AAC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0394C"/>
    <w:rsid w:val="00410C32"/>
    <w:rsid w:val="00413C81"/>
    <w:rsid w:val="00414D5F"/>
    <w:rsid w:val="00424D8D"/>
    <w:rsid w:val="00425D3C"/>
    <w:rsid w:val="00434B45"/>
    <w:rsid w:val="00435699"/>
    <w:rsid w:val="004359E5"/>
    <w:rsid w:val="00441E86"/>
    <w:rsid w:val="00441FED"/>
    <w:rsid w:val="00443207"/>
    <w:rsid w:val="004452D5"/>
    <w:rsid w:val="00452226"/>
    <w:rsid w:val="00452319"/>
    <w:rsid w:val="00464341"/>
    <w:rsid w:val="00466890"/>
    <w:rsid w:val="004716F1"/>
    <w:rsid w:val="00474423"/>
    <w:rsid w:val="004817F7"/>
    <w:rsid w:val="00492ED5"/>
    <w:rsid w:val="004A1252"/>
    <w:rsid w:val="004A5A16"/>
    <w:rsid w:val="004A608E"/>
    <w:rsid w:val="004A751F"/>
    <w:rsid w:val="004B0295"/>
    <w:rsid w:val="004B6550"/>
    <w:rsid w:val="004D1059"/>
    <w:rsid w:val="004D462D"/>
    <w:rsid w:val="004E1494"/>
    <w:rsid w:val="004E5F35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44BE"/>
    <w:rsid w:val="00542FFA"/>
    <w:rsid w:val="00550D2E"/>
    <w:rsid w:val="00553DE9"/>
    <w:rsid w:val="00554B8F"/>
    <w:rsid w:val="00561288"/>
    <w:rsid w:val="00561471"/>
    <w:rsid w:val="005648D1"/>
    <w:rsid w:val="0056658F"/>
    <w:rsid w:val="00566D70"/>
    <w:rsid w:val="00570A1B"/>
    <w:rsid w:val="00575E4E"/>
    <w:rsid w:val="00577590"/>
    <w:rsid w:val="00581A47"/>
    <w:rsid w:val="00591234"/>
    <w:rsid w:val="0059340D"/>
    <w:rsid w:val="00593622"/>
    <w:rsid w:val="00593CBF"/>
    <w:rsid w:val="00593D37"/>
    <w:rsid w:val="005A0780"/>
    <w:rsid w:val="005A43E9"/>
    <w:rsid w:val="005A4F6B"/>
    <w:rsid w:val="005A6437"/>
    <w:rsid w:val="005B321C"/>
    <w:rsid w:val="005B353B"/>
    <w:rsid w:val="005B379A"/>
    <w:rsid w:val="005B6BBF"/>
    <w:rsid w:val="005B7351"/>
    <w:rsid w:val="005C2A77"/>
    <w:rsid w:val="005C2F98"/>
    <w:rsid w:val="005C77CB"/>
    <w:rsid w:val="005D2021"/>
    <w:rsid w:val="005D4C85"/>
    <w:rsid w:val="005D6232"/>
    <w:rsid w:val="005E1EFD"/>
    <w:rsid w:val="005E74ED"/>
    <w:rsid w:val="005F0C20"/>
    <w:rsid w:val="005F1EF9"/>
    <w:rsid w:val="005F4CF5"/>
    <w:rsid w:val="006009BB"/>
    <w:rsid w:val="00604270"/>
    <w:rsid w:val="006072B0"/>
    <w:rsid w:val="0061452C"/>
    <w:rsid w:val="006171EC"/>
    <w:rsid w:val="00624899"/>
    <w:rsid w:val="006250B7"/>
    <w:rsid w:val="00626AFE"/>
    <w:rsid w:val="0062753B"/>
    <w:rsid w:val="00627D2E"/>
    <w:rsid w:val="00627E18"/>
    <w:rsid w:val="00630292"/>
    <w:rsid w:val="00631893"/>
    <w:rsid w:val="006334E9"/>
    <w:rsid w:val="006370E9"/>
    <w:rsid w:val="0064244F"/>
    <w:rsid w:val="00651A82"/>
    <w:rsid w:val="00653975"/>
    <w:rsid w:val="006603A6"/>
    <w:rsid w:val="00662421"/>
    <w:rsid w:val="006624D0"/>
    <w:rsid w:val="0066570E"/>
    <w:rsid w:val="00672AA0"/>
    <w:rsid w:val="0067518B"/>
    <w:rsid w:val="0068008E"/>
    <w:rsid w:val="00685754"/>
    <w:rsid w:val="00686101"/>
    <w:rsid w:val="00686C89"/>
    <w:rsid w:val="00692850"/>
    <w:rsid w:val="00692F44"/>
    <w:rsid w:val="006A6ECF"/>
    <w:rsid w:val="006A778A"/>
    <w:rsid w:val="006B35BA"/>
    <w:rsid w:val="006B57D5"/>
    <w:rsid w:val="006B598D"/>
    <w:rsid w:val="006D09CF"/>
    <w:rsid w:val="006D4A0C"/>
    <w:rsid w:val="006D7CAC"/>
    <w:rsid w:val="006E0963"/>
    <w:rsid w:val="006E1B59"/>
    <w:rsid w:val="006E326B"/>
    <w:rsid w:val="006E71E4"/>
    <w:rsid w:val="006F0369"/>
    <w:rsid w:val="006F09E9"/>
    <w:rsid w:val="006F4FBD"/>
    <w:rsid w:val="007009D8"/>
    <w:rsid w:val="00704A2C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674A4"/>
    <w:rsid w:val="0077684A"/>
    <w:rsid w:val="007778A3"/>
    <w:rsid w:val="00784F76"/>
    <w:rsid w:val="00786288"/>
    <w:rsid w:val="00786A4D"/>
    <w:rsid w:val="00795C25"/>
    <w:rsid w:val="007A01CD"/>
    <w:rsid w:val="007A03E7"/>
    <w:rsid w:val="007B029A"/>
    <w:rsid w:val="007B1519"/>
    <w:rsid w:val="007B24A1"/>
    <w:rsid w:val="007B33CC"/>
    <w:rsid w:val="007B422B"/>
    <w:rsid w:val="007B778B"/>
    <w:rsid w:val="007C69D9"/>
    <w:rsid w:val="007C70F9"/>
    <w:rsid w:val="007C7B0B"/>
    <w:rsid w:val="007D20C6"/>
    <w:rsid w:val="007D3BFB"/>
    <w:rsid w:val="007E290A"/>
    <w:rsid w:val="007E2C2F"/>
    <w:rsid w:val="007E2F4C"/>
    <w:rsid w:val="007E7A4A"/>
    <w:rsid w:val="007F3F30"/>
    <w:rsid w:val="007F468D"/>
    <w:rsid w:val="007F6923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373E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84624"/>
    <w:rsid w:val="00886B04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0F4F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4233"/>
    <w:rsid w:val="009056A1"/>
    <w:rsid w:val="0090705F"/>
    <w:rsid w:val="0091797F"/>
    <w:rsid w:val="0092133F"/>
    <w:rsid w:val="0092585F"/>
    <w:rsid w:val="00926738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83F1F"/>
    <w:rsid w:val="0099139B"/>
    <w:rsid w:val="00992E2F"/>
    <w:rsid w:val="009A0085"/>
    <w:rsid w:val="009B01F0"/>
    <w:rsid w:val="009B02EB"/>
    <w:rsid w:val="009B34AC"/>
    <w:rsid w:val="009B395A"/>
    <w:rsid w:val="009B59CD"/>
    <w:rsid w:val="009B5BDB"/>
    <w:rsid w:val="009C0148"/>
    <w:rsid w:val="009C35A6"/>
    <w:rsid w:val="009D0582"/>
    <w:rsid w:val="009D33F5"/>
    <w:rsid w:val="009D43A5"/>
    <w:rsid w:val="009D7795"/>
    <w:rsid w:val="009E5BB1"/>
    <w:rsid w:val="009E7013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1E8E"/>
    <w:rsid w:val="00A42465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2ABF"/>
    <w:rsid w:val="00A7472F"/>
    <w:rsid w:val="00A75674"/>
    <w:rsid w:val="00A779B8"/>
    <w:rsid w:val="00A804C1"/>
    <w:rsid w:val="00A82A96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A30B0"/>
    <w:rsid w:val="00AA7265"/>
    <w:rsid w:val="00AB117E"/>
    <w:rsid w:val="00AB22F5"/>
    <w:rsid w:val="00AB2633"/>
    <w:rsid w:val="00AB373A"/>
    <w:rsid w:val="00AB3EB1"/>
    <w:rsid w:val="00AB439C"/>
    <w:rsid w:val="00AB584E"/>
    <w:rsid w:val="00AC554E"/>
    <w:rsid w:val="00AC5B3B"/>
    <w:rsid w:val="00AD0A7F"/>
    <w:rsid w:val="00AD2DA6"/>
    <w:rsid w:val="00AD6125"/>
    <w:rsid w:val="00AE4752"/>
    <w:rsid w:val="00AE7AA6"/>
    <w:rsid w:val="00AF0D63"/>
    <w:rsid w:val="00AF1705"/>
    <w:rsid w:val="00AF1B18"/>
    <w:rsid w:val="00AF252A"/>
    <w:rsid w:val="00AF7B4A"/>
    <w:rsid w:val="00B00B27"/>
    <w:rsid w:val="00B0143B"/>
    <w:rsid w:val="00B01BA3"/>
    <w:rsid w:val="00B01BCA"/>
    <w:rsid w:val="00B02BDA"/>
    <w:rsid w:val="00B0465E"/>
    <w:rsid w:val="00B0645E"/>
    <w:rsid w:val="00B12E9D"/>
    <w:rsid w:val="00B13B04"/>
    <w:rsid w:val="00B1789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5C48"/>
    <w:rsid w:val="00B67C86"/>
    <w:rsid w:val="00B73D4F"/>
    <w:rsid w:val="00B74911"/>
    <w:rsid w:val="00B76A09"/>
    <w:rsid w:val="00B77C72"/>
    <w:rsid w:val="00B81B40"/>
    <w:rsid w:val="00B87F80"/>
    <w:rsid w:val="00B904E3"/>
    <w:rsid w:val="00BA5979"/>
    <w:rsid w:val="00BB13B6"/>
    <w:rsid w:val="00BB2D5C"/>
    <w:rsid w:val="00BD170F"/>
    <w:rsid w:val="00BD1EE9"/>
    <w:rsid w:val="00BD468A"/>
    <w:rsid w:val="00BE0943"/>
    <w:rsid w:val="00BE168F"/>
    <w:rsid w:val="00BE733E"/>
    <w:rsid w:val="00BF1925"/>
    <w:rsid w:val="00BF1DCC"/>
    <w:rsid w:val="00BF2458"/>
    <w:rsid w:val="00BF485B"/>
    <w:rsid w:val="00C00BF0"/>
    <w:rsid w:val="00C03311"/>
    <w:rsid w:val="00C0333D"/>
    <w:rsid w:val="00C055E9"/>
    <w:rsid w:val="00C057D3"/>
    <w:rsid w:val="00C075EE"/>
    <w:rsid w:val="00C146C9"/>
    <w:rsid w:val="00C15E8A"/>
    <w:rsid w:val="00C16E04"/>
    <w:rsid w:val="00C2101A"/>
    <w:rsid w:val="00C24254"/>
    <w:rsid w:val="00C24A4A"/>
    <w:rsid w:val="00C256ED"/>
    <w:rsid w:val="00C256FC"/>
    <w:rsid w:val="00C25C70"/>
    <w:rsid w:val="00C31D27"/>
    <w:rsid w:val="00C34A46"/>
    <w:rsid w:val="00C35943"/>
    <w:rsid w:val="00C37A76"/>
    <w:rsid w:val="00C41A4B"/>
    <w:rsid w:val="00C429E7"/>
    <w:rsid w:val="00C516A8"/>
    <w:rsid w:val="00C55D5A"/>
    <w:rsid w:val="00C572D3"/>
    <w:rsid w:val="00C60354"/>
    <w:rsid w:val="00C606B6"/>
    <w:rsid w:val="00C63321"/>
    <w:rsid w:val="00C63E2B"/>
    <w:rsid w:val="00C71413"/>
    <w:rsid w:val="00C74282"/>
    <w:rsid w:val="00C74BE8"/>
    <w:rsid w:val="00C761A3"/>
    <w:rsid w:val="00C81E13"/>
    <w:rsid w:val="00C874A6"/>
    <w:rsid w:val="00C87D72"/>
    <w:rsid w:val="00C9112D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E75B9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00BA"/>
    <w:rsid w:val="00D23FC0"/>
    <w:rsid w:val="00D24F0C"/>
    <w:rsid w:val="00D25163"/>
    <w:rsid w:val="00D3218D"/>
    <w:rsid w:val="00D36168"/>
    <w:rsid w:val="00D375A7"/>
    <w:rsid w:val="00D42688"/>
    <w:rsid w:val="00D4389E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1E4A"/>
    <w:rsid w:val="00DC4F5C"/>
    <w:rsid w:val="00DC55AD"/>
    <w:rsid w:val="00DD4041"/>
    <w:rsid w:val="00DD6D02"/>
    <w:rsid w:val="00DE0202"/>
    <w:rsid w:val="00DE0B9C"/>
    <w:rsid w:val="00DE3887"/>
    <w:rsid w:val="00DE5FB6"/>
    <w:rsid w:val="00DE63AB"/>
    <w:rsid w:val="00DE7F64"/>
    <w:rsid w:val="00DF0BE0"/>
    <w:rsid w:val="00DF10F8"/>
    <w:rsid w:val="00DF37D9"/>
    <w:rsid w:val="00E00DFA"/>
    <w:rsid w:val="00E02673"/>
    <w:rsid w:val="00E153AB"/>
    <w:rsid w:val="00E1643A"/>
    <w:rsid w:val="00E1781E"/>
    <w:rsid w:val="00E207B8"/>
    <w:rsid w:val="00E20FF7"/>
    <w:rsid w:val="00E21566"/>
    <w:rsid w:val="00E24834"/>
    <w:rsid w:val="00E2678D"/>
    <w:rsid w:val="00E30299"/>
    <w:rsid w:val="00E302BB"/>
    <w:rsid w:val="00E3247A"/>
    <w:rsid w:val="00E33D06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4757A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16AEF"/>
    <w:rsid w:val="00F2019E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67B8C"/>
    <w:rsid w:val="00F71847"/>
    <w:rsid w:val="00F719A1"/>
    <w:rsid w:val="00F71D5B"/>
    <w:rsid w:val="00F73EBA"/>
    <w:rsid w:val="00F77768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A5641"/>
    <w:rsid w:val="00FB103D"/>
    <w:rsid w:val="00FC46CE"/>
    <w:rsid w:val="00FC6926"/>
    <w:rsid w:val="00FD0B77"/>
    <w:rsid w:val="00FD10D1"/>
    <w:rsid w:val="00FD428E"/>
    <w:rsid w:val="00FD5A09"/>
    <w:rsid w:val="00FD6BF1"/>
    <w:rsid w:val="00FE0DFE"/>
    <w:rsid w:val="00FE4530"/>
    <w:rsid w:val="00FE4E5E"/>
    <w:rsid w:val="00FE55BD"/>
    <w:rsid w:val="00FF0117"/>
    <w:rsid w:val="00FF057F"/>
    <w:rsid w:val="00FF05AF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4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  <w:style w:type="character" w:customStyle="1" w:styleId="s23">
    <w:name w:val="s23"/>
    <w:basedOn w:val="Standardnpsmoodstavce"/>
    <w:rsid w:val="00296BED"/>
  </w:style>
  <w:style w:type="character" w:customStyle="1" w:styleId="s30">
    <w:name w:val="s30"/>
    <w:basedOn w:val="Standardnpsmoodstavce"/>
    <w:rsid w:val="00296BED"/>
  </w:style>
  <w:style w:type="character" w:customStyle="1" w:styleId="s31">
    <w:name w:val="s31"/>
    <w:basedOn w:val="Standardnpsmoodstavce"/>
    <w:rsid w:val="00296BED"/>
  </w:style>
  <w:style w:type="character" w:customStyle="1" w:styleId="s1">
    <w:name w:val="s1"/>
    <w:basedOn w:val="Standardnpsmoodstavce"/>
    <w:rsid w:val="00296BED"/>
  </w:style>
  <w:style w:type="paragraph" w:customStyle="1" w:styleId="pf0">
    <w:name w:val="pf0"/>
    <w:basedOn w:val="Normln"/>
    <w:rsid w:val="00C516A8"/>
    <w:pPr>
      <w:spacing w:before="100" w:beforeAutospacing="1" w:after="100" w:afterAutospacing="1"/>
    </w:pPr>
    <w:rPr>
      <w:lang w:eastAsia="cs-CZ"/>
    </w:rPr>
  </w:style>
  <w:style w:type="character" w:customStyle="1" w:styleId="cf01">
    <w:name w:val="cf01"/>
    <w:rsid w:val="00C516A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C516A8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31">
    <w:name w:val="cf31"/>
    <w:rsid w:val="00C516A8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41">
    <w:name w:val="cf41"/>
    <w:rsid w:val="00C516A8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1918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Zikes</cp:lastModifiedBy>
  <cp:revision>3</cp:revision>
  <dcterms:created xsi:type="dcterms:W3CDTF">2025-05-02T08:15:00Z</dcterms:created>
  <dcterms:modified xsi:type="dcterms:W3CDTF">2025-05-02T08:16:00Z</dcterms:modified>
</cp:coreProperties>
</file>