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15D1" w14:textId="23B89E72" w:rsidR="00EF17C6" w:rsidRPr="00EF17C6" w:rsidRDefault="00EF17C6" w:rsidP="00EF17C6">
      <w:pPr>
        <w:ind w:left="7080"/>
        <w:jc w:val="center"/>
        <w:rPr>
          <w:rFonts w:ascii="Times New Roman" w:hAnsi="Times New Roman" w:cs="Times New Roman"/>
          <w:sz w:val="20"/>
          <w:szCs w:val="20"/>
        </w:rPr>
      </w:pPr>
      <w:r w:rsidRPr="00EF17C6">
        <w:rPr>
          <w:rFonts w:ascii="Times New Roman" w:hAnsi="Times New Roman" w:cs="Times New Roman"/>
          <w:sz w:val="20"/>
          <w:szCs w:val="20"/>
        </w:rPr>
        <w:t xml:space="preserve">V Praze dne </w:t>
      </w:r>
      <w:r w:rsidR="00562F1E">
        <w:rPr>
          <w:rFonts w:ascii="Times New Roman" w:hAnsi="Times New Roman" w:cs="Times New Roman"/>
          <w:sz w:val="20"/>
          <w:szCs w:val="20"/>
        </w:rPr>
        <w:t>30</w:t>
      </w:r>
      <w:r w:rsidRPr="00EF17C6">
        <w:rPr>
          <w:rFonts w:ascii="Times New Roman" w:hAnsi="Times New Roman" w:cs="Times New Roman"/>
          <w:sz w:val="20"/>
          <w:szCs w:val="20"/>
        </w:rPr>
        <w:t xml:space="preserve">. </w:t>
      </w:r>
      <w:r w:rsidR="00562F1E">
        <w:rPr>
          <w:rFonts w:ascii="Times New Roman" w:hAnsi="Times New Roman" w:cs="Times New Roman"/>
          <w:sz w:val="20"/>
          <w:szCs w:val="20"/>
        </w:rPr>
        <w:t>6</w:t>
      </w:r>
      <w:r w:rsidRPr="00EF17C6">
        <w:rPr>
          <w:rFonts w:ascii="Times New Roman" w:hAnsi="Times New Roman" w:cs="Times New Roman"/>
          <w:sz w:val="20"/>
          <w:szCs w:val="20"/>
        </w:rPr>
        <w:t>. 2025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EF17C6" w:rsidRPr="00EF17C6" w14:paraId="6DE8F60A" w14:textId="77777777" w:rsidTr="009A3970">
        <w:tc>
          <w:tcPr>
            <w:tcW w:w="2093" w:type="dxa"/>
            <w:vAlign w:val="center"/>
          </w:tcPr>
          <w:p w14:paraId="2A63B26B" w14:textId="77777777" w:rsidR="00EF17C6" w:rsidRPr="00EF17C6" w:rsidRDefault="00EF17C6" w:rsidP="00EF17C6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7C6">
              <w:rPr>
                <w:rFonts w:ascii="Times New Roman" w:hAnsi="Times New Roman"/>
                <w:b/>
                <w:sz w:val="24"/>
                <w:szCs w:val="24"/>
              </w:rPr>
              <w:t>Název materiálu:</w:t>
            </w:r>
          </w:p>
        </w:tc>
        <w:tc>
          <w:tcPr>
            <w:tcW w:w="7229" w:type="dxa"/>
          </w:tcPr>
          <w:p w14:paraId="4DC08631" w14:textId="16353CD3" w:rsidR="00EF17C6" w:rsidRPr="00EF17C6" w:rsidRDefault="009F232B" w:rsidP="009F232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32B">
              <w:rPr>
                <w:rFonts w:ascii="Times New Roman" w:hAnsi="Times New Roman"/>
                <w:b/>
                <w:bCs/>
                <w:sz w:val="24"/>
                <w:szCs w:val="24"/>
              </w:rPr>
              <w:t>Návrh vyhlášky, kterou se mění vyhláška č. 79/2022 Sb., o technicko-ekonomických parametrech pro stanovení referenčních výkupních cen a zelených bonusů a k provedení některých dalších ustanovení zákona o podporovaných zdrojích energie (vyhláška o technicko-ekonomických parametrech), ve znění pozdějších předpisů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F17C6" w:rsidRPr="00EF17C6" w14:paraId="48C2464D" w14:textId="77777777" w:rsidTr="009A3970">
        <w:tc>
          <w:tcPr>
            <w:tcW w:w="2093" w:type="dxa"/>
            <w:vAlign w:val="center"/>
          </w:tcPr>
          <w:p w14:paraId="1D33E196" w14:textId="1172A4F0" w:rsidR="00EF17C6" w:rsidRPr="00EF17C6" w:rsidRDefault="00EF17C6" w:rsidP="00EF17C6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7C6">
              <w:rPr>
                <w:rFonts w:ascii="Times New Roman" w:hAnsi="Times New Roman"/>
                <w:b/>
                <w:sz w:val="24"/>
                <w:szCs w:val="24"/>
              </w:rPr>
              <w:t>Připom</w:t>
            </w:r>
            <w:r w:rsidR="00FE53A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F17C6">
              <w:rPr>
                <w:rFonts w:ascii="Times New Roman" w:hAnsi="Times New Roman"/>
                <w:b/>
                <w:sz w:val="24"/>
                <w:szCs w:val="24"/>
              </w:rPr>
              <w:t>místo:</w:t>
            </w:r>
          </w:p>
        </w:tc>
        <w:tc>
          <w:tcPr>
            <w:tcW w:w="7229" w:type="dxa"/>
          </w:tcPr>
          <w:p w14:paraId="6A61E605" w14:textId="0129A7F4" w:rsidR="00EF17C6" w:rsidRPr="00EF17C6" w:rsidRDefault="00EF17C6" w:rsidP="00EF17C6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Zaměstnavatelský svaz důlního a naftového průmyslu (ZSDNP)</w:t>
            </w:r>
          </w:p>
        </w:tc>
      </w:tr>
      <w:tr w:rsidR="00EF17C6" w:rsidRPr="00EF17C6" w14:paraId="455764D0" w14:textId="77777777" w:rsidTr="009A3970">
        <w:tc>
          <w:tcPr>
            <w:tcW w:w="2093" w:type="dxa"/>
            <w:vAlign w:val="center"/>
          </w:tcPr>
          <w:p w14:paraId="600FD4CF" w14:textId="77777777" w:rsidR="00EF17C6" w:rsidRPr="00EF17C6" w:rsidRDefault="00EF17C6" w:rsidP="00EF17C6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7C6">
              <w:rPr>
                <w:rFonts w:ascii="Times New Roman" w:hAnsi="Times New Roman"/>
                <w:b/>
                <w:sz w:val="24"/>
                <w:szCs w:val="24"/>
              </w:rPr>
              <w:t>Telefon:</w:t>
            </w:r>
            <w:r w:rsidRPr="00EF17C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14:paraId="5A63E50F" w14:textId="540FCF10" w:rsidR="00EF17C6" w:rsidRPr="00EF17C6" w:rsidRDefault="00EF17C6" w:rsidP="00EF17C6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7C6">
              <w:rPr>
                <w:rFonts w:ascii="Times New Roman" w:hAnsi="Times New Roman"/>
                <w:b/>
                <w:sz w:val="24"/>
                <w:szCs w:val="24"/>
              </w:rPr>
              <w:t>+420 </w:t>
            </w:r>
            <w:r w:rsidR="00FE53A7">
              <w:rPr>
                <w:rFonts w:ascii="Times New Roman" w:hAnsi="Times New Roman"/>
                <w:b/>
                <w:sz w:val="24"/>
                <w:szCs w:val="24"/>
              </w:rPr>
              <w:t>724</w:t>
            </w:r>
            <w:r w:rsidRPr="00EF17C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E53A7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62F1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E53A7">
              <w:rPr>
                <w:rFonts w:ascii="Times New Roman" w:hAnsi="Times New Roman"/>
                <w:b/>
                <w:sz w:val="24"/>
                <w:szCs w:val="24"/>
              </w:rPr>
              <w:t>648</w:t>
            </w:r>
            <w:r w:rsidR="00562F1E">
              <w:rPr>
                <w:rFonts w:ascii="Times New Roman" w:hAnsi="Times New Roman"/>
                <w:b/>
                <w:sz w:val="24"/>
                <w:szCs w:val="24"/>
              </w:rPr>
              <w:t xml:space="preserve">, +420 </w:t>
            </w:r>
            <w:r w:rsidR="00562F1E" w:rsidRPr="00562F1E">
              <w:rPr>
                <w:rFonts w:ascii="Times New Roman" w:hAnsi="Times New Roman"/>
                <w:b/>
                <w:sz w:val="24"/>
                <w:szCs w:val="24"/>
              </w:rPr>
              <w:t>739 55 66 56</w:t>
            </w:r>
            <w:r w:rsidR="006F4B9F">
              <w:rPr>
                <w:rFonts w:ascii="Times New Roman" w:hAnsi="Times New Roman"/>
                <w:b/>
                <w:sz w:val="24"/>
                <w:szCs w:val="24"/>
              </w:rPr>
              <w:t xml:space="preserve">, +420 </w:t>
            </w:r>
            <w:r w:rsidR="006F4B9F" w:rsidRPr="006F4B9F">
              <w:rPr>
                <w:rFonts w:ascii="Times New Roman" w:hAnsi="Times New Roman"/>
                <w:b/>
                <w:bCs/>
                <w:sz w:val="24"/>
                <w:szCs w:val="24"/>
              </w:rPr>
              <w:t>727 956 059</w:t>
            </w:r>
          </w:p>
        </w:tc>
      </w:tr>
      <w:tr w:rsidR="00EF17C6" w:rsidRPr="00EF17C6" w14:paraId="257066D4" w14:textId="77777777" w:rsidTr="009A3970">
        <w:tc>
          <w:tcPr>
            <w:tcW w:w="2093" w:type="dxa"/>
            <w:vAlign w:val="center"/>
          </w:tcPr>
          <w:p w14:paraId="44C35CC6" w14:textId="77777777" w:rsidR="00EF17C6" w:rsidRPr="00EF17C6" w:rsidRDefault="00EF17C6" w:rsidP="00EF17C6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7C6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229" w:type="dxa"/>
          </w:tcPr>
          <w:p w14:paraId="15CAF046" w14:textId="5379C3C7" w:rsidR="00562F1E" w:rsidRPr="00562F1E" w:rsidRDefault="00D205DA" w:rsidP="00EF17C6">
            <w:pPr>
              <w:spacing w:after="200" w:line="360" w:lineRule="auto"/>
              <w:jc w:val="both"/>
            </w:pPr>
            <w:hyperlink r:id="rId7" w:history="1">
              <w:r w:rsidRPr="003351FC">
                <w:rPr>
                  <w:rStyle w:val="Hypertextovodkaz"/>
                  <w:rFonts w:ascii="Calibri" w:hAnsi="Calibri"/>
                </w:rPr>
                <w:t>sochor</w:t>
              </w:r>
              <w:r w:rsidRPr="003351FC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@zsdnp.cz</w:t>
              </w:r>
            </w:hyperlink>
            <w:r w:rsidR="00EF17C6" w:rsidRPr="00EF17C6">
              <w:rPr>
                <w:rFonts w:ascii="Times New Roman" w:hAnsi="Times New Roman"/>
                <w:sz w:val="24"/>
                <w:szCs w:val="24"/>
              </w:rPr>
              <w:t>,</w:t>
            </w:r>
            <w:r w:rsidR="00712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712097" w:rsidRPr="00EA4FBB">
                <w:rPr>
                  <w:rStyle w:val="Hypertextovodkaz"/>
                  <w:rFonts w:ascii="Calibri" w:hAnsi="Calibri"/>
                </w:rPr>
                <w:t>danielova</w:t>
              </w:r>
              <w:r w:rsidR="00712097" w:rsidRPr="00EA4FBB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@zsdnp.cz</w:t>
              </w:r>
            </w:hyperlink>
            <w:r w:rsidR="00562F1E">
              <w:t xml:space="preserve">, </w:t>
            </w:r>
            <w:hyperlink r:id="rId9" w:history="1">
              <w:r w:rsidR="00562F1E" w:rsidRPr="000D2018">
                <w:rPr>
                  <w:rStyle w:val="Hypertextovodkaz"/>
                </w:rPr>
                <w:t>furstova@sovak.cz</w:t>
              </w:r>
            </w:hyperlink>
            <w:r w:rsidR="00712097">
              <w:t xml:space="preserve">, </w:t>
            </w:r>
            <w:hyperlink r:id="rId10" w:history="1">
              <w:r w:rsidR="00712097" w:rsidRPr="00712097">
                <w:rPr>
                  <w:rStyle w:val="Hypertextovodkaz"/>
                  <w:bCs/>
                </w:rPr>
                <w:t>jakub.machytka@uzs.cz</w:t>
              </w:r>
            </w:hyperlink>
          </w:p>
        </w:tc>
      </w:tr>
      <w:tr w:rsidR="00EF17C6" w:rsidRPr="00EF17C6" w14:paraId="20D92027" w14:textId="77777777" w:rsidTr="009A3970">
        <w:tc>
          <w:tcPr>
            <w:tcW w:w="2093" w:type="dxa"/>
            <w:vAlign w:val="center"/>
          </w:tcPr>
          <w:p w14:paraId="64258BBC" w14:textId="77777777" w:rsidR="00EF17C6" w:rsidRPr="00EF17C6" w:rsidRDefault="00EF17C6" w:rsidP="00EF17C6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7C6">
              <w:rPr>
                <w:rFonts w:ascii="Times New Roman" w:hAnsi="Times New Roman"/>
                <w:b/>
                <w:sz w:val="24"/>
                <w:szCs w:val="24"/>
              </w:rPr>
              <w:t>Kontaktní osoba:</w:t>
            </w:r>
          </w:p>
        </w:tc>
        <w:tc>
          <w:tcPr>
            <w:tcW w:w="7229" w:type="dxa"/>
          </w:tcPr>
          <w:p w14:paraId="0F6E9865" w14:textId="673ECC1A" w:rsidR="00EF17C6" w:rsidRPr="00EF17C6" w:rsidRDefault="00EF17C6" w:rsidP="00EF17C6">
            <w:pPr>
              <w:spacing w:after="20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Ing. Zbyšek Sochor, Ph.D.</w:t>
            </w:r>
            <w:r w:rsidR="002D5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D5846" w:rsidRPr="002D5846">
              <w:rPr>
                <w:rFonts w:ascii="Times New Roman" w:hAnsi="Times New Roman"/>
                <w:b/>
                <w:bCs/>
                <w:sz w:val="24"/>
                <w:szCs w:val="24"/>
              </w:rPr>
              <w:t>Barbora Fürstová</w:t>
            </w:r>
            <w:r w:rsidR="006F4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6F4B9F" w:rsidRPr="006F4B9F">
              <w:rPr>
                <w:rFonts w:ascii="Times New Roman" w:hAnsi="Times New Roman"/>
                <w:b/>
                <w:bCs/>
                <w:sz w:val="24"/>
                <w:szCs w:val="24"/>
              </w:rPr>
              <w:t>Mgr. Jakub Machytka</w:t>
            </w:r>
          </w:p>
        </w:tc>
      </w:tr>
    </w:tbl>
    <w:p w14:paraId="201F15F0" w14:textId="77777777" w:rsidR="00B930E4" w:rsidRPr="001964BE" w:rsidRDefault="00B930E4" w:rsidP="00B930E4">
      <w:pPr>
        <w:jc w:val="both"/>
        <w:rPr>
          <w:rFonts w:cstheme="minorHAnsi"/>
          <w:b/>
          <w:bCs/>
          <w:u w:val="single"/>
        </w:rPr>
      </w:pPr>
    </w:p>
    <w:p w14:paraId="0BADA249" w14:textId="77777777" w:rsidR="00B930E4" w:rsidRPr="00FE53A7" w:rsidRDefault="00B930E4" w:rsidP="00FE53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3FE748" w14:textId="77777777" w:rsidR="00FB3712" w:rsidRPr="00FB3712" w:rsidRDefault="00FB3712" w:rsidP="00FB3712">
      <w:pPr>
        <w:spacing w:after="120" w:line="276" w:lineRule="auto"/>
        <w:rPr>
          <w:rFonts w:ascii="Calibri" w:eastAsia="Times New Roman" w:hAnsi="Calibri" w:cs="Calibri"/>
          <w:b/>
          <w:u w:val="single"/>
        </w:rPr>
      </w:pPr>
      <w:r w:rsidRPr="00FB3712">
        <w:rPr>
          <w:rFonts w:ascii="Calibri" w:eastAsia="Times New Roman" w:hAnsi="Calibri" w:cs="Calibri"/>
          <w:b/>
          <w:u w:val="single"/>
        </w:rPr>
        <w:t>Konkrétní připomínka</w:t>
      </w:r>
    </w:p>
    <w:p w14:paraId="18989DFC" w14:textId="77777777" w:rsidR="00FB3712" w:rsidRPr="00FB3712" w:rsidRDefault="00FB3712" w:rsidP="00FB3712">
      <w:pPr>
        <w:numPr>
          <w:ilvl w:val="0"/>
          <w:numId w:val="12"/>
        </w:numPr>
        <w:suppressAutoHyphens/>
        <w:spacing w:before="24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2"/>
          <w:lang w:eastAsia="ar-SA"/>
        </w:rPr>
      </w:pPr>
      <w:r w:rsidRPr="00FB3712">
        <w:rPr>
          <w:rFonts w:ascii="Calibri" w:eastAsia="Times New Roman" w:hAnsi="Calibri" w:cs="Calibri"/>
          <w:b/>
          <w:bCs/>
          <w:kern w:val="2"/>
          <w:lang w:eastAsia="ar-SA"/>
        </w:rPr>
        <w:t xml:space="preserve">Připomínka k příloze č. 1 </w:t>
      </w:r>
    </w:p>
    <w:p w14:paraId="31F18485" w14:textId="77777777" w:rsidR="00FB3712" w:rsidRPr="00FB3712" w:rsidRDefault="00FB3712" w:rsidP="00FB3712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FB3712">
        <w:rPr>
          <w:rFonts w:ascii="Calibri" w:eastAsia="Times New Roman" w:hAnsi="Calibri" w:cs="Calibri"/>
        </w:rPr>
        <w:t xml:space="preserve">V příloze č. 1 tabulce č. 1 sloupci "Náklady na pořízení paliva" je u položky bioplynu obsažena hodnota 4,1 Kč/Nm3 bpl. Požadujeme vysvětlit zdroj tohoto údaje a zároveň uvést i konkrétní vlastnosti bioplynu, zejména obsah bioplynu. </w:t>
      </w:r>
    </w:p>
    <w:p w14:paraId="1975B018" w14:textId="77777777" w:rsidR="00FB3712" w:rsidRPr="00FB3712" w:rsidRDefault="00FB3712" w:rsidP="00FB3712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FB3712">
        <w:rPr>
          <w:rFonts w:ascii="Calibri" w:eastAsia="Times New Roman" w:hAnsi="Calibri" w:cs="Calibri"/>
          <w:u w:val="single"/>
        </w:rPr>
        <w:t>Odůvodnění</w:t>
      </w:r>
      <w:r w:rsidRPr="00FB3712">
        <w:rPr>
          <w:rFonts w:ascii="Calibri" w:eastAsia="Times New Roman" w:hAnsi="Calibri" w:cs="Calibri"/>
        </w:rPr>
        <w:t>:</w:t>
      </w:r>
    </w:p>
    <w:p w14:paraId="52F15106" w14:textId="77777777" w:rsidR="00FB3712" w:rsidRPr="00FB3712" w:rsidRDefault="00FB3712" w:rsidP="00FB3712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FB3712">
        <w:rPr>
          <w:rFonts w:ascii="Calibri" w:eastAsia="Times New Roman" w:hAnsi="Calibri" w:cs="Calibri"/>
        </w:rPr>
        <w:t>Aktuální návrh neurčuje jasně parametry daného bioplynu, který může mít velmi různý obsah metanu (např. 45-70 %) a neumožňuje tak reálný přepočet. Nadto je stanovená cena relativně nízká a odpovídá spíše ceně bioplynu vyrobené z jiné než cíleně pěstované biomasy.</w:t>
      </w:r>
    </w:p>
    <w:p w14:paraId="0EBE37E3" w14:textId="2A2D3AE2" w:rsidR="00FB3712" w:rsidRPr="00FB3712" w:rsidRDefault="00F67E5D" w:rsidP="00FB3712">
      <w:pPr>
        <w:pBdr>
          <w:bottom w:val="single" w:sz="4" w:space="1" w:color="auto"/>
        </w:pBdr>
        <w:spacing w:after="120" w:line="276" w:lineRule="auto"/>
        <w:ind w:left="12" w:firstLine="708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Times New Roman"/>
        </w:rPr>
        <w:t>T</w:t>
      </w:r>
      <w:r w:rsidR="00FB3712" w:rsidRPr="00FB3712">
        <w:rPr>
          <w:rFonts w:ascii="Calibri" w:eastAsia="Times New Roman" w:hAnsi="Calibri" w:cs="Times New Roman"/>
        </w:rPr>
        <w:t>ato připomínka je zásadní</w:t>
      </w:r>
    </w:p>
    <w:p w14:paraId="3C62B7D9" w14:textId="27DC2931" w:rsidR="003A5B48" w:rsidRDefault="003A5B48" w:rsidP="00FB3712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FA8E2E" w14:textId="77777777" w:rsidR="00F66F31" w:rsidRPr="00F66F31" w:rsidRDefault="00F66F31" w:rsidP="00F66F31">
      <w:pPr>
        <w:numPr>
          <w:ilvl w:val="0"/>
          <w:numId w:val="12"/>
        </w:numPr>
        <w:suppressAutoHyphens/>
        <w:spacing w:before="24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2"/>
          <w:lang w:eastAsia="ar-SA"/>
        </w:rPr>
      </w:pPr>
      <w:r w:rsidRPr="00F66F31">
        <w:rPr>
          <w:rFonts w:ascii="Calibri" w:eastAsia="Times New Roman" w:hAnsi="Calibri" w:cs="Calibri"/>
          <w:b/>
          <w:bCs/>
          <w:kern w:val="2"/>
          <w:lang w:eastAsia="ar-SA"/>
        </w:rPr>
        <w:t>Navrhujeme, aby čl. II, přechodných ustanovení zněl:</w:t>
      </w:r>
    </w:p>
    <w:p w14:paraId="462D4CD5" w14:textId="77777777" w:rsidR="00F66F31" w:rsidRPr="00F66F31" w:rsidRDefault="00F66F31" w:rsidP="00F66F31">
      <w:pPr>
        <w:spacing w:after="0" w:line="276" w:lineRule="auto"/>
        <w:contextualSpacing/>
        <w:jc w:val="center"/>
        <w:rPr>
          <w:rFonts w:ascii="Calibri" w:eastAsia="Times New Roman" w:hAnsi="Calibri" w:cs="Calibri"/>
          <w:lang w:eastAsia="cs-CZ"/>
        </w:rPr>
      </w:pPr>
    </w:p>
    <w:p w14:paraId="52E96437" w14:textId="77777777" w:rsidR="00F66F31" w:rsidRPr="00F66F31" w:rsidRDefault="00F66F31" w:rsidP="00F66F31">
      <w:pPr>
        <w:spacing w:after="0" w:line="276" w:lineRule="auto"/>
        <w:contextualSpacing/>
        <w:jc w:val="center"/>
        <w:rPr>
          <w:rFonts w:ascii="Calibri" w:eastAsia="Times New Roman" w:hAnsi="Calibri" w:cs="Calibri"/>
          <w:lang w:eastAsia="cs-CZ"/>
        </w:rPr>
      </w:pPr>
      <w:r w:rsidRPr="00F66F31">
        <w:rPr>
          <w:rFonts w:ascii="Calibri" w:eastAsia="Times New Roman" w:hAnsi="Calibri" w:cs="Calibri"/>
          <w:lang w:eastAsia="cs-CZ"/>
        </w:rPr>
        <w:t>Čl. II</w:t>
      </w:r>
    </w:p>
    <w:p w14:paraId="5EB66DD7" w14:textId="77777777" w:rsidR="00F66F31" w:rsidRPr="00F66F31" w:rsidRDefault="00F66F31" w:rsidP="00F66F31">
      <w:pPr>
        <w:spacing w:after="0" w:line="276" w:lineRule="auto"/>
        <w:contextualSpacing/>
        <w:jc w:val="center"/>
        <w:rPr>
          <w:rFonts w:ascii="Calibri" w:eastAsia="Times New Roman" w:hAnsi="Calibri" w:cs="Calibri"/>
          <w:lang w:eastAsia="cs-CZ"/>
        </w:rPr>
      </w:pPr>
      <w:r w:rsidRPr="00F66F31">
        <w:rPr>
          <w:rFonts w:ascii="Calibri" w:eastAsia="Times New Roman" w:hAnsi="Calibri" w:cs="Calibri"/>
          <w:b/>
          <w:lang w:eastAsia="cs-CZ"/>
        </w:rPr>
        <w:t>Přechodné ustanovení</w:t>
      </w:r>
    </w:p>
    <w:p w14:paraId="17A0C579" w14:textId="77777777" w:rsidR="00F66F31" w:rsidRPr="00F66F31" w:rsidRDefault="00F66F31" w:rsidP="00F66F31">
      <w:pPr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  <w:lang w:eastAsia="cs-CZ"/>
        </w:rPr>
      </w:pPr>
    </w:p>
    <w:p w14:paraId="0DC469CF" w14:textId="77777777" w:rsidR="00F66F31" w:rsidRDefault="00F66F31" w:rsidP="00F66F31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F66F31">
        <w:rPr>
          <w:rFonts w:ascii="Calibri" w:eastAsia="Times New Roman" w:hAnsi="Calibri" w:cs="Calibri"/>
          <w:lang w:eastAsia="en-GB"/>
        </w:rPr>
        <w:t>Pro výrobny elektřiny, výrobny tepla a výrobny biometanu jejichž výstavba nebo modernizace započala před datem 31. prosince 2025 rozhodne výrobce, zda se použijí technicko-ekonomické parametry podle vyhlášky č. 79/2022 Sb., ve znění účinném přede dnem nabytí účinnosti této vyhlášky nebo zda se použijí technicko-ekonomické parametry podle vyhlášky č. 79/2022 Sb., ve znění účinném po dni nabytí účinnosti této vyhlášky, a to nejpozději do 31.12.2030.</w:t>
      </w:r>
    </w:p>
    <w:p w14:paraId="799DF8E9" w14:textId="77777777" w:rsidR="0019750D" w:rsidRDefault="0019750D" w:rsidP="00F66F31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3EE99FB6" w14:textId="77777777" w:rsidR="0019750D" w:rsidRDefault="0019750D" w:rsidP="00F66F31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1EDA8A1C" w14:textId="77777777" w:rsidR="00F66F31" w:rsidRPr="00F66F31" w:rsidRDefault="00F66F31" w:rsidP="00F66F31">
      <w:pPr>
        <w:spacing w:after="0" w:line="240" w:lineRule="auto"/>
        <w:contextualSpacing/>
        <w:jc w:val="both"/>
        <w:rPr>
          <w:rFonts w:ascii="Calibri" w:eastAsia="Times New Roman" w:hAnsi="Calibri" w:cs="Calibri"/>
          <w:u w:val="single"/>
          <w:lang w:eastAsia="en-GB"/>
        </w:rPr>
      </w:pPr>
      <w:r w:rsidRPr="00F66F31">
        <w:rPr>
          <w:rFonts w:ascii="Calibri" w:eastAsia="Times New Roman" w:hAnsi="Calibri" w:cs="Calibri"/>
          <w:u w:val="single"/>
          <w:lang w:eastAsia="en-GB"/>
        </w:rPr>
        <w:lastRenderedPageBreak/>
        <w:t xml:space="preserve">Odůvodnění: </w:t>
      </w:r>
    </w:p>
    <w:p w14:paraId="40F10CE5" w14:textId="77777777" w:rsidR="00F66F31" w:rsidRPr="00F66F31" w:rsidRDefault="00F66F31" w:rsidP="00F66F31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en-GB"/>
        </w:rPr>
      </w:pPr>
      <w:r w:rsidRPr="00F66F31">
        <w:rPr>
          <w:rFonts w:ascii="Calibri" w:eastAsia="Times New Roman" w:hAnsi="Calibri" w:cs="Calibri"/>
          <w:lang w:eastAsia="en-GB"/>
        </w:rPr>
        <w:t xml:space="preserve">Úprava má za cíl zajištění stability pro rozhodování investorů v případech, kdy by mělo docházet ke změně TEP v průběhu realizace výstavby nebo modernizace výrobny a alespoň částečné zajištění predikovatelnosti ekonomického prostředí pro výrobce či budoucí výrobce. </w:t>
      </w:r>
    </w:p>
    <w:p w14:paraId="7A8873EC" w14:textId="77777777" w:rsidR="00F66F31" w:rsidRPr="00F66F31" w:rsidRDefault="00F66F31" w:rsidP="00F66F31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en-GB"/>
        </w:rPr>
      </w:pPr>
    </w:p>
    <w:p w14:paraId="5FD4108E" w14:textId="77777777" w:rsidR="00F66F31" w:rsidRPr="00F66F31" w:rsidRDefault="00F66F31" w:rsidP="00F66F31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F66F31">
        <w:rPr>
          <w:rFonts w:ascii="Calibri" w:eastAsia="Times New Roman" w:hAnsi="Calibri" w:cs="Calibri"/>
          <w:lang w:eastAsia="en-GB"/>
        </w:rPr>
        <w:t xml:space="preserve">Vyhláška TEP (dnes č. 79/2022 Sb.) je jednou z nejvíce novelizovaných podzákonných norem v energetice, jak ve vztahu k současnému zákonu č. 165/2012 Sb., tak i k předchozí právní úpravě, zákonu č. 180/2005 Sb. Parametry, které tento podzákonný právní předpis určuje, jsou rozhodující pro ekonomiku provozu OZE, tedy pro klíčová rozhodnutí výrobce nebo potencionálního budoucího výrobce o realizaci a způsobu investice do zřízení nebo modernizaci výrobny. Jednou z novelami nejdotčenějších oblastí OZE je oblast MVE, kde došlo postupně ke zkrácení doby podpory z časově neomezené (před vydáním zákona č. 180/2005 Sb.) na 30letou, poté na 20letou a nyní je u modernizací opět zkracována na 15letou. Dále došlo k zavedení obligatorní a novelami dotčené položky „měrné investiční náklady“. Její smysluplnost není zcela zřejmá, každá lokalita má své individuální parametry, ze kterých se výše potřebných investic odvíjí, z tohoto důvodu nelze než navrhnout vypuštění této položky jako takové. Každá lokalita má i svoji individuální využitelnost danou přírodními podmínkami a její paušalizace rovněž není správná. </w:t>
      </w:r>
    </w:p>
    <w:p w14:paraId="658C001C" w14:textId="77777777" w:rsidR="00F66F31" w:rsidRPr="00F66F31" w:rsidRDefault="00F66F31" w:rsidP="00F66F31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46ED1AEC" w14:textId="77777777" w:rsidR="00F66F31" w:rsidRPr="00F66F31" w:rsidRDefault="00F66F31" w:rsidP="00F66F31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F66F31">
        <w:rPr>
          <w:rFonts w:ascii="Calibri" w:eastAsia="Times New Roman" w:hAnsi="Calibri" w:cs="Calibri"/>
          <w:lang w:eastAsia="en-GB"/>
        </w:rPr>
        <w:t xml:space="preserve">Je třeba uvést, že výstavba výrobny OZE je časově náročná (zejména s ohledem na administrativní zátěž) a u MVE často přesáhne lhůtu 10 let, u modernizací MVE je nutno počítat přibližně se 3 lety pro realizaci.  Sektor tedy potřebuje především stabilitu, o kterou neustálými novelizacemi přichází. </w:t>
      </w:r>
    </w:p>
    <w:p w14:paraId="112EA707" w14:textId="77777777" w:rsidR="00F66F31" w:rsidRPr="00F66F31" w:rsidRDefault="00F66F31" w:rsidP="00F66F31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F66F31">
        <w:rPr>
          <w:rFonts w:ascii="Calibri" w:eastAsia="Times New Roman" w:hAnsi="Calibri" w:cs="Calibri"/>
          <w:lang w:eastAsia="en-GB"/>
        </w:rPr>
        <w:t>Odůvodnění pro navrženou změnu vyhlášky TEP (str.5 DZ, vyčíslení úspory) není uspokojivé, sama úspora je ve vztahu objemu prostředků vkládaných do OZE naprosto marginální.</w:t>
      </w:r>
    </w:p>
    <w:p w14:paraId="45CA8279" w14:textId="77777777" w:rsidR="00F66F31" w:rsidRPr="00F66F31" w:rsidRDefault="00F66F31" w:rsidP="00F66F31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04FC2803" w14:textId="77777777" w:rsidR="00F66F31" w:rsidRPr="00F66F31" w:rsidRDefault="00F66F31" w:rsidP="00F66F31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  <w:r w:rsidRPr="00F66F31">
        <w:rPr>
          <w:rFonts w:ascii="Calibri" w:eastAsia="Times New Roman" w:hAnsi="Calibri" w:cs="Calibri"/>
          <w:lang w:eastAsia="en-GB"/>
        </w:rPr>
        <w:t xml:space="preserve">Tato připomínka je zásadní </w:t>
      </w:r>
    </w:p>
    <w:p w14:paraId="5897BC93" w14:textId="77777777" w:rsidR="00F66F31" w:rsidRPr="00F66F31" w:rsidRDefault="00F66F31" w:rsidP="00F66F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n-GB"/>
        </w:rPr>
      </w:pPr>
    </w:p>
    <w:p w14:paraId="14524B10" w14:textId="77777777" w:rsidR="00F66F31" w:rsidRPr="00FE53A7" w:rsidRDefault="00F66F31" w:rsidP="00FB3712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F66F31" w:rsidRPr="00FE53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F46B" w14:textId="77777777" w:rsidR="00D64790" w:rsidRDefault="00D64790" w:rsidP="003A5B48">
      <w:pPr>
        <w:spacing w:after="0" w:line="240" w:lineRule="auto"/>
      </w:pPr>
      <w:r>
        <w:separator/>
      </w:r>
    </w:p>
  </w:endnote>
  <w:endnote w:type="continuationSeparator" w:id="0">
    <w:p w14:paraId="77FE7A34" w14:textId="77777777" w:rsidR="00D64790" w:rsidRDefault="00D64790" w:rsidP="003A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4585592"/>
      <w:docPartObj>
        <w:docPartGallery w:val="Page Numbers (Bottom of Page)"/>
        <w:docPartUnique/>
      </w:docPartObj>
    </w:sdtPr>
    <w:sdtEndPr/>
    <w:sdtContent>
      <w:p w14:paraId="539AF2B2" w14:textId="07D10CB2" w:rsidR="00F85D08" w:rsidRDefault="00F85D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3B0AFE" w14:textId="77777777" w:rsidR="00F85D08" w:rsidRDefault="00F85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B51FF" w14:textId="77777777" w:rsidR="00D64790" w:rsidRDefault="00D64790" w:rsidP="003A5B48">
      <w:pPr>
        <w:spacing w:after="0" w:line="240" w:lineRule="auto"/>
      </w:pPr>
      <w:r>
        <w:separator/>
      </w:r>
    </w:p>
  </w:footnote>
  <w:footnote w:type="continuationSeparator" w:id="0">
    <w:p w14:paraId="5A02F3EF" w14:textId="77777777" w:rsidR="00D64790" w:rsidRDefault="00D64790" w:rsidP="003A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2BA8" w14:textId="4CA2C727" w:rsidR="002258F8" w:rsidRDefault="00EF17C6" w:rsidP="00EF17C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F031E" wp14:editId="3E66B83B">
              <wp:simplePos x="0" y="0"/>
              <wp:positionH relativeFrom="column">
                <wp:posOffset>1125855</wp:posOffset>
              </wp:positionH>
              <wp:positionV relativeFrom="paragraph">
                <wp:posOffset>20320</wp:posOffset>
              </wp:positionV>
              <wp:extent cx="3784600" cy="533400"/>
              <wp:effectExtent l="0" t="0" r="6350" b="0"/>
              <wp:wrapNone/>
              <wp:docPr id="196372680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46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276401" w14:textId="1E93937D" w:rsidR="00EF17C6" w:rsidRPr="00EF17C6" w:rsidRDefault="00EF17C6" w:rsidP="00EF17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F17C6">
                            <w:rPr>
                              <w:sz w:val="28"/>
                              <w:szCs w:val="28"/>
                            </w:rPr>
                            <w:t xml:space="preserve">ZAMĚSTNAVATELSKÝ SVAZ DŮLNÍHO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                  </w:t>
                          </w:r>
                          <w:r w:rsidRPr="00EF17C6">
                            <w:rPr>
                              <w:sz w:val="28"/>
                              <w:szCs w:val="28"/>
                            </w:rPr>
                            <w:t>A NAFTOVÉHO PRŮMYSLU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F031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8.65pt;margin-top:1.6pt;width:298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yI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" fillcolor="white [3201]" stroked="f" strokeweight=".5pt">
              <v:textbox>
                <w:txbxContent>
                  <w:p w14:paraId="4E276401" w14:textId="1E93937D" w:rsidR="00EF17C6" w:rsidRPr="00EF17C6" w:rsidRDefault="00EF17C6" w:rsidP="00EF17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F17C6">
                      <w:rPr>
                        <w:sz w:val="28"/>
                        <w:szCs w:val="28"/>
                      </w:rPr>
                      <w:t xml:space="preserve">ZAMĚSTNAVATELSKÝ SVAZ DŮLNÍHO </w:t>
                    </w:r>
                    <w:r>
                      <w:rPr>
                        <w:sz w:val="28"/>
                        <w:szCs w:val="28"/>
                      </w:rPr>
                      <w:t xml:space="preserve">                    </w:t>
                    </w:r>
                    <w:r w:rsidRPr="00EF17C6">
                      <w:rPr>
                        <w:sz w:val="28"/>
                        <w:szCs w:val="28"/>
                      </w:rPr>
                      <w:t>A NAFTOVÉHO PRŮMYSLU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F7393C2" wp14:editId="0EC03A28">
          <wp:extent cx="838200" cy="590550"/>
          <wp:effectExtent l="0" t="0" r="0" b="0"/>
          <wp:docPr id="13675949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2258F8">
      <w:t>Příloha č. 1</w:t>
    </w:r>
  </w:p>
  <w:p w14:paraId="441262C7" w14:textId="77777777" w:rsidR="00EF17C6" w:rsidRDefault="00EF17C6" w:rsidP="00EF17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71"/>
    <w:multiLevelType w:val="hybridMultilevel"/>
    <w:tmpl w:val="868AE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591E"/>
    <w:multiLevelType w:val="hybridMultilevel"/>
    <w:tmpl w:val="10366332"/>
    <w:lvl w:ilvl="0" w:tplc="E246544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7185"/>
    <w:multiLevelType w:val="hybridMultilevel"/>
    <w:tmpl w:val="F40AD72E"/>
    <w:lvl w:ilvl="0" w:tplc="1CA8B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06D5"/>
    <w:multiLevelType w:val="hybridMultilevel"/>
    <w:tmpl w:val="18386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53CD"/>
    <w:multiLevelType w:val="hybridMultilevel"/>
    <w:tmpl w:val="73D8AF98"/>
    <w:lvl w:ilvl="0" w:tplc="EC46FE9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1F6A95"/>
    <w:multiLevelType w:val="hybridMultilevel"/>
    <w:tmpl w:val="48E6F6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F058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773C0E"/>
    <w:multiLevelType w:val="hybridMultilevel"/>
    <w:tmpl w:val="253CE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75DD0"/>
    <w:multiLevelType w:val="hybridMultilevel"/>
    <w:tmpl w:val="ABF8C6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D2597"/>
    <w:multiLevelType w:val="hybridMultilevel"/>
    <w:tmpl w:val="50E84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554DE"/>
    <w:multiLevelType w:val="hybridMultilevel"/>
    <w:tmpl w:val="1036633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F0CA4"/>
    <w:multiLevelType w:val="hybridMultilevel"/>
    <w:tmpl w:val="ED242202"/>
    <w:lvl w:ilvl="0" w:tplc="A21C7362">
      <w:start w:val="1"/>
      <w:numFmt w:val="lowerLetter"/>
      <w:lvlText w:val="%1)"/>
      <w:lvlJc w:val="left"/>
      <w:pPr>
        <w:ind w:left="720" w:hanging="360"/>
      </w:pPr>
      <w:rPr>
        <w:rFonts w:ascii="Aptos" w:hAnsi="Aptos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28734">
    <w:abstractNumId w:val="7"/>
  </w:num>
  <w:num w:numId="2" w16cid:durableId="1188984320">
    <w:abstractNumId w:val="9"/>
  </w:num>
  <w:num w:numId="3" w16cid:durableId="1089697396">
    <w:abstractNumId w:val="3"/>
  </w:num>
  <w:num w:numId="4" w16cid:durableId="1124925821">
    <w:abstractNumId w:val="8"/>
  </w:num>
  <w:num w:numId="5" w16cid:durableId="1819298468">
    <w:abstractNumId w:val="2"/>
  </w:num>
  <w:num w:numId="6" w16cid:durableId="1949652920">
    <w:abstractNumId w:val="2"/>
  </w:num>
  <w:num w:numId="7" w16cid:durableId="733697034">
    <w:abstractNumId w:val="5"/>
  </w:num>
  <w:num w:numId="8" w16cid:durableId="1669746437">
    <w:abstractNumId w:val="1"/>
  </w:num>
  <w:num w:numId="9" w16cid:durableId="591550015">
    <w:abstractNumId w:val="4"/>
  </w:num>
  <w:num w:numId="10" w16cid:durableId="25254053">
    <w:abstractNumId w:val="10"/>
  </w:num>
  <w:num w:numId="11" w16cid:durableId="269944677">
    <w:abstractNumId w:val="11"/>
  </w:num>
  <w:num w:numId="12" w16cid:durableId="2075734445">
    <w:abstractNumId w:val="6"/>
  </w:num>
  <w:num w:numId="13" w16cid:durableId="45845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48"/>
    <w:rsid w:val="001901A9"/>
    <w:rsid w:val="0019750D"/>
    <w:rsid w:val="001B051E"/>
    <w:rsid w:val="002258F8"/>
    <w:rsid w:val="002B11E4"/>
    <w:rsid w:val="002D5846"/>
    <w:rsid w:val="0035174A"/>
    <w:rsid w:val="003639C6"/>
    <w:rsid w:val="003A5B48"/>
    <w:rsid w:val="00450E96"/>
    <w:rsid w:val="004D0EE1"/>
    <w:rsid w:val="00562F1E"/>
    <w:rsid w:val="005D3C4E"/>
    <w:rsid w:val="0061667F"/>
    <w:rsid w:val="006167A4"/>
    <w:rsid w:val="0066428C"/>
    <w:rsid w:val="006D560D"/>
    <w:rsid w:val="006F24F8"/>
    <w:rsid w:val="006F4B9F"/>
    <w:rsid w:val="00712097"/>
    <w:rsid w:val="00862B95"/>
    <w:rsid w:val="00895D3C"/>
    <w:rsid w:val="009A3A57"/>
    <w:rsid w:val="009C0163"/>
    <w:rsid w:val="009D4D4B"/>
    <w:rsid w:val="009F232B"/>
    <w:rsid w:val="00AF54F6"/>
    <w:rsid w:val="00B85211"/>
    <w:rsid w:val="00B86833"/>
    <w:rsid w:val="00B930E4"/>
    <w:rsid w:val="00C30276"/>
    <w:rsid w:val="00D205DA"/>
    <w:rsid w:val="00D335BE"/>
    <w:rsid w:val="00D57670"/>
    <w:rsid w:val="00D64790"/>
    <w:rsid w:val="00E15570"/>
    <w:rsid w:val="00E256C8"/>
    <w:rsid w:val="00E53EE6"/>
    <w:rsid w:val="00EA3614"/>
    <w:rsid w:val="00EF17C6"/>
    <w:rsid w:val="00F66F31"/>
    <w:rsid w:val="00F67E5D"/>
    <w:rsid w:val="00F85D08"/>
    <w:rsid w:val="00FB3712"/>
    <w:rsid w:val="00FE53A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8B565"/>
  <w15:chartTrackingRefBased/>
  <w15:docId w15:val="{7DFB5D7D-F392-41CB-A996-2084681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B4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B4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3A5B4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5B4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3A5B48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A5B4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30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0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0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0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0E4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53EE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2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8F8"/>
  </w:style>
  <w:style w:type="paragraph" w:styleId="Zpat">
    <w:name w:val="footer"/>
    <w:basedOn w:val="Normln"/>
    <w:link w:val="ZpatChar"/>
    <w:uiPriority w:val="99"/>
    <w:unhideWhenUsed/>
    <w:rsid w:val="0022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8F8"/>
  </w:style>
  <w:style w:type="table" w:styleId="Mkatabulky">
    <w:name w:val="Table Grid"/>
    <w:basedOn w:val="Normlntabulka"/>
    <w:uiPriority w:val="59"/>
    <w:rsid w:val="00EF17C6"/>
    <w:pPr>
      <w:spacing w:after="0" w:line="240" w:lineRule="auto"/>
    </w:pPr>
    <w:rPr>
      <w:rFonts w:ascii="Franklin Gothic Book" w:eastAsia="Times New Roman" w:hAnsi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ova@zsdn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or@zsdnp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kub.machytka@uz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rstova@sov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Hrbáčková</dc:creator>
  <cp:keywords/>
  <dc:description/>
  <cp:lastModifiedBy>Lucie Danielová</cp:lastModifiedBy>
  <cp:revision>8</cp:revision>
  <cp:lastPrinted>2025-06-25T09:22:00Z</cp:lastPrinted>
  <dcterms:created xsi:type="dcterms:W3CDTF">2025-06-25T09:22:00Z</dcterms:created>
  <dcterms:modified xsi:type="dcterms:W3CDTF">2025-06-30T06:39:00Z</dcterms:modified>
</cp:coreProperties>
</file>